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E92F2" w14:textId="77777777" w:rsidR="00597731" w:rsidRDefault="00597731" w:rsidP="00A34138">
      <w:pPr>
        <w:rPr>
          <w:rFonts w:asciiTheme="minorHAnsi" w:hAnsiTheme="minorHAnsi" w:cstheme="minorHAnsi"/>
          <w:b/>
        </w:rPr>
      </w:pPr>
    </w:p>
    <w:p w14:paraId="62216B7A" w14:textId="252584A6" w:rsidR="00A34138" w:rsidRPr="00A34138" w:rsidRDefault="00A34138" w:rsidP="00A34138">
      <w:pPr>
        <w:rPr>
          <w:rFonts w:asciiTheme="minorHAnsi" w:hAnsiTheme="minorHAnsi" w:cstheme="minorHAnsi"/>
          <w:b/>
        </w:rPr>
      </w:pPr>
      <w:r w:rsidRPr="00A34138">
        <w:rPr>
          <w:rFonts w:asciiTheme="minorHAnsi" w:hAnsiTheme="minorHAnsi" w:cstheme="minorHAnsi"/>
          <w:b/>
        </w:rPr>
        <w:t>Business Rates Review: Call for Evidence – September 2020</w:t>
      </w:r>
    </w:p>
    <w:p w14:paraId="7CE97244" w14:textId="77777777" w:rsidR="00A34138" w:rsidRPr="00A34138" w:rsidRDefault="00A34138" w:rsidP="00A34138">
      <w:pPr>
        <w:rPr>
          <w:rFonts w:asciiTheme="minorHAnsi" w:hAnsiTheme="minorHAnsi" w:cstheme="minorHAnsi"/>
          <w:b/>
          <w:bCs/>
          <w:szCs w:val="20"/>
          <w:u w:val="single"/>
        </w:rPr>
      </w:pPr>
      <w:r w:rsidRPr="00A34138">
        <w:rPr>
          <w:rFonts w:asciiTheme="minorHAnsi" w:hAnsiTheme="minorHAnsi" w:cstheme="minorHAnsi"/>
          <w:b/>
          <w:bCs/>
          <w:szCs w:val="20"/>
          <w:u w:val="single"/>
        </w:rPr>
        <w:t>About the MA</w:t>
      </w:r>
    </w:p>
    <w:p w14:paraId="6499D767" w14:textId="3C0BCA78" w:rsidR="00A34138" w:rsidRPr="00A34138" w:rsidRDefault="00A34138" w:rsidP="00A34138">
      <w:pPr>
        <w:rPr>
          <w:rFonts w:asciiTheme="minorHAnsi" w:hAnsiTheme="minorHAnsi" w:cstheme="minorHAnsi"/>
          <w:szCs w:val="20"/>
        </w:rPr>
      </w:pPr>
      <w:r w:rsidRPr="00A34138">
        <w:rPr>
          <w:rFonts w:asciiTheme="minorHAnsi" w:hAnsiTheme="minorHAnsi" w:cstheme="minorHAnsi"/>
          <w:szCs w:val="20"/>
        </w:rPr>
        <w:t>The Museums Association (MA) is a membership organisation representing and supporting museums and people who work with them throughout the UK. Our membership of over 12,000 includes all types of museums, from small volunteer-run local museums to large national institutions and people working in all types of roles from directors to trainees. Founded in 1889, the MA was the world’s first professional body fo</w:t>
      </w:r>
      <w:bookmarkStart w:id="0" w:name="_GoBack"/>
      <w:bookmarkEnd w:id="0"/>
      <w:r w:rsidRPr="00A34138">
        <w:rPr>
          <w:rFonts w:asciiTheme="minorHAnsi" w:hAnsiTheme="minorHAnsi" w:cstheme="minorHAnsi"/>
          <w:szCs w:val="20"/>
        </w:rPr>
        <w:t xml:space="preserve">r museums. We lead thinking in UK museums with initiatives such as Empowering Collections and Museums Change </w:t>
      </w:r>
      <w:proofErr w:type="gramStart"/>
      <w:r w:rsidRPr="00A34138">
        <w:rPr>
          <w:rFonts w:asciiTheme="minorHAnsi" w:hAnsiTheme="minorHAnsi" w:cstheme="minorHAnsi"/>
          <w:szCs w:val="20"/>
        </w:rPr>
        <w:t>Lives, and</w:t>
      </w:r>
      <w:proofErr w:type="gramEnd"/>
      <w:r w:rsidRPr="00A34138">
        <w:rPr>
          <w:rFonts w:asciiTheme="minorHAnsi" w:hAnsiTheme="minorHAnsi" w:cstheme="minorHAnsi"/>
          <w:szCs w:val="20"/>
        </w:rPr>
        <w:t xml:space="preserve"> provide £1.3m per year of funding for museum projects via our </w:t>
      </w:r>
      <w:proofErr w:type="spellStart"/>
      <w:r w:rsidRPr="00A34138">
        <w:rPr>
          <w:rFonts w:asciiTheme="minorHAnsi" w:hAnsiTheme="minorHAnsi" w:cstheme="minorHAnsi"/>
          <w:szCs w:val="20"/>
        </w:rPr>
        <w:t>Esmée</w:t>
      </w:r>
      <w:proofErr w:type="spellEnd"/>
      <w:r w:rsidRPr="00A34138">
        <w:rPr>
          <w:rFonts w:asciiTheme="minorHAnsi" w:hAnsiTheme="minorHAnsi" w:cstheme="minorHAnsi"/>
          <w:szCs w:val="20"/>
        </w:rPr>
        <w:t xml:space="preserve"> Fairbairn Collections Fund. For more information about the Museums Association, see our website: </w:t>
      </w:r>
      <w:hyperlink r:id="rId7" w:history="1">
        <w:r w:rsidRPr="00A34138">
          <w:rPr>
            <w:rStyle w:val="Hyperlink"/>
            <w:rFonts w:asciiTheme="minorHAnsi" w:hAnsiTheme="minorHAnsi" w:cstheme="minorHAnsi"/>
            <w:szCs w:val="20"/>
          </w:rPr>
          <w:t>http://www.museumsassociation.org/home</w:t>
        </w:r>
      </w:hyperlink>
    </w:p>
    <w:p w14:paraId="26119744" w14:textId="5F32CCBE" w:rsidR="00A34138" w:rsidRPr="00A34138" w:rsidRDefault="00A34138" w:rsidP="00A34138">
      <w:pPr>
        <w:rPr>
          <w:rFonts w:asciiTheme="minorHAnsi" w:hAnsiTheme="minorHAnsi" w:cstheme="minorHAnsi"/>
          <w:b/>
        </w:rPr>
      </w:pPr>
      <w:r w:rsidRPr="00A34138">
        <w:rPr>
          <w:rFonts w:asciiTheme="minorHAnsi" w:hAnsiTheme="minorHAnsi" w:cstheme="minorHAnsi"/>
          <w:b/>
        </w:rPr>
        <w:t>Responses to questions:</w:t>
      </w:r>
    </w:p>
    <w:p w14:paraId="63BA8008" w14:textId="5300C282" w:rsidR="00A34138" w:rsidRPr="00A34138" w:rsidRDefault="00A34138" w:rsidP="00A34138">
      <w:pPr>
        <w:rPr>
          <w:rFonts w:asciiTheme="minorHAnsi" w:hAnsiTheme="minorHAnsi" w:cstheme="minorHAnsi"/>
          <w:b/>
        </w:rPr>
      </w:pPr>
      <w:r w:rsidRPr="00A34138">
        <w:rPr>
          <w:rFonts w:asciiTheme="minorHAnsi" w:hAnsiTheme="minorHAnsi" w:cstheme="minorHAnsi"/>
          <w:b/>
        </w:rPr>
        <w:t xml:space="preserve">Section 3.1 Reliefs </w:t>
      </w:r>
    </w:p>
    <w:p w14:paraId="04CEB091"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This response is primarily in relation to reliefs for museums but is equally applicable to any charity occupation. The question itself has </w:t>
      </w:r>
      <w:proofErr w:type="gramStart"/>
      <w:r w:rsidRPr="00A34138">
        <w:rPr>
          <w:rFonts w:asciiTheme="minorHAnsi" w:hAnsiTheme="minorHAnsi" w:cstheme="minorHAnsi"/>
        </w:rPr>
        <w:t>a number of</w:t>
      </w:r>
      <w:proofErr w:type="gramEnd"/>
      <w:r w:rsidRPr="00A34138">
        <w:rPr>
          <w:rFonts w:asciiTheme="minorHAnsi" w:hAnsiTheme="minorHAnsi" w:cstheme="minorHAnsi"/>
        </w:rPr>
        <w:t xml:space="preserve"> elements which are dealt with separately below. Before being able to answer the questions of how well the reliefs deliver outcomes and satisfy the principle of good tax design it is first necessary to consider which reliefs are relevant. </w:t>
      </w:r>
    </w:p>
    <w:p w14:paraId="08584F3F" w14:textId="77777777" w:rsidR="00A34138" w:rsidRPr="00A34138" w:rsidRDefault="00A34138" w:rsidP="00A34138">
      <w:pPr>
        <w:pStyle w:val="ListParagraph"/>
        <w:rPr>
          <w:rFonts w:asciiTheme="minorHAnsi" w:hAnsiTheme="minorHAnsi" w:cstheme="minorHAnsi"/>
        </w:rPr>
      </w:pPr>
    </w:p>
    <w:p w14:paraId="3EE4C993" w14:textId="77777777" w:rsidR="00A34138" w:rsidRPr="00A34138" w:rsidRDefault="00A34138" w:rsidP="00A34138">
      <w:pPr>
        <w:pStyle w:val="ListParagraph"/>
        <w:rPr>
          <w:rFonts w:asciiTheme="minorHAnsi" w:hAnsiTheme="minorHAnsi" w:cstheme="minorHAnsi"/>
          <w:b/>
        </w:rPr>
      </w:pPr>
      <w:r w:rsidRPr="00A34138">
        <w:rPr>
          <w:rFonts w:asciiTheme="minorHAnsi" w:hAnsiTheme="minorHAnsi" w:cstheme="minorHAnsi"/>
          <w:b/>
        </w:rPr>
        <w:t>Applicable reliefs</w:t>
      </w:r>
    </w:p>
    <w:p w14:paraId="6A15F440" w14:textId="77777777" w:rsidR="00A34138" w:rsidRPr="00A34138" w:rsidRDefault="00A34138" w:rsidP="00A34138">
      <w:pPr>
        <w:pStyle w:val="ListParagraph"/>
        <w:rPr>
          <w:rFonts w:asciiTheme="minorHAnsi" w:hAnsiTheme="minorHAnsi" w:cstheme="minorHAnsi"/>
        </w:rPr>
      </w:pPr>
    </w:p>
    <w:p w14:paraId="67483202" w14:textId="19A209A5" w:rsidR="00A34138" w:rsidRPr="00A34138" w:rsidRDefault="00A34138" w:rsidP="00A34138">
      <w:pPr>
        <w:pStyle w:val="ListParagraph"/>
        <w:numPr>
          <w:ilvl w:val="1"/>
          <w:numId w:val="1"/>
        </w:numPr>
        <w:rPr>
          <w:rFonts w:asciiTheme="minorHAnsi" w:hAnsiTheme="minorHAnsi" w:cstheme="minorHAnsi"/>
        </w:rPr>
      </w:pPr>
      <w:r w:rsidRPr="00A34138">
        <w:rPr>
          <w:rFonts w:asciiTheme="minorHAnsi" w:hAnsiTheme="minorHAnsi" w:cstheme="minorHAnsi"/>
          <w:b/>
        </w:rPr>
        <w:t xml:space="preserve">Charitable </w:t>
      </w:r>
      <w:proofErr w:type="gramStart"/>
      <w:r w:rsidRPr="00A34138">
        <w:rPr>
          <w:rFonts w:asciiTheme="minorHAnsi" w:hAnsiTheme="minorHAnsi" w:cstheme="minorHAnsi"/>
          <w:b/>
        </w:rPr>
        <w:t xml:space="preserve">Relief </w:t>
      </w:r>
      <w:r>
        <w:rPr>
          <w:rFonts w:asciiTheme="minorHAnsi" w:hAnsiTheme="minorHAnsi" w:cstheme="minorHAnsi"/>
        </w:rPr>
        <w:t xml:space="preserve"> -</w:t>
      </w:r>
      <w:proofErr w:type="gramEnd"/>
      <w:r>
        <w:rPr>
          <w:rFonts w:asciiTheme="minorHAnsi" w:hAnsiTheme="minorHAnsi" w:cstheme="minorHAnsi"/>
        </w:rPr>
        <w:t xml:space="preserve"> T</w:t>
      </w:r>
      <w:r w:rsidRPr="00A34138">
        <w:rPr>
          <w:rFonts w:asciiTheme="minorHAnsi" w:hAnsiTheme="minorHAnsi" w:cstheme="minorHAnsi"/>
        </w:rPr>
        <w:t xml:space="preserve">his is the principle relief of concern to the museum sector. The eligibility for the relief is based on a property being wholly or mainly used for charitable purposes.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the legislation gives no definition of: charitable purposes; use; and how to measure “wholly or mainly”. </w:t>
      </w:r>
    </w:p>
    <w:p w14:paraId="57B3731B" w14:textId="61F227EC" w:rsidR="00A34138" w:rsidRPr="00A34138" w:rsidRDefault="00A34138" w:rsidP="00A34138">
      <w:pPr>
        <w:pStyle w:val="ListParagraph"/>
        <w:numPr>
          <w:ilvl w:val="1"/>
          <w:numId w:val="1"/>
        </w:numPr>
        <w:rPr>
          <w:rFonts w:asciiTheme="minorHAnsi" w:hAnsiTheme="minorHAnsi" w:cstheme="minorHAnsi"/>
        </w:rPr>
      </w:pPr>
      <w:r w:rsidRPr="00A34138">
        <w:rPr>
          <w:rFonts w:asciiTheme="minorHAnsi" w:hAnsiTheme="minorHAnsi" w:cstheme="minorHAnsi"/>
          <w:b/>
        </w:rPr>
        <w:t xml:space="preserve">Non-profit Making Organisation </w:t>
      </w:r>
      <w:proofErr w:type="gramStart"/>
      <w:r w:rsidRPr="00A34138">
        <w:rPr>
          <w:rFonts w:asciiTheme="minorHAnsi" w:hAnsiTheme="minorHAnsi" w:cstheme="minorHAnsi"/>
          <w:b/>
        </w:rPr>
        <w:t xml:space="preserve">Relief </w:t>
      </w:r>
      <w:r>
        <w:rPr>
          <w:rFonts w:asciiTheme="minorHAnsi" w:hAnsiTheme="minorHAnsi" w:cstheme="minorHAnsi"/>
        </w:rPr>
        <w:t xml:space="preserve"> -</w:t>
      </w:r>
      <w:proofErr w:type="gramEnd"/>
      <w:r>
        <w:rPr>
          <w:rFonts w:asciiTheme="minorHAnsi" w:hAnsiTheme="minorHAnsi" w:cstheme="minorHAnsi"/>
        </w:rPr>
        <w:t xml:space="preserve"> T</w:t>
      </w:r>
      <w:r w:rsidRPr="00A34138">
        <w:rPr>
          <w:rFonts w:asciiTheme="minorHAnsi" w:hAnsiTheme="minorHAnsi" w:cstheme="minorHAnsi"/>
        </w:rPr>
        <w:t xml:space="preserve">his is the second most important relief for museums. This relief is dwindling as billing authorities are prioritising other spending over granting such reliefs, especially to bodies already receiving 80% charitable relief. Whilst it is appreciated that this is a matter for local government discretion the lack of any consistency on the setting of policy for such reliefs is a challenge for any museum or other charity when looking at medium to long term planning, especially if the museum occupies properties in different local authority areas.   </w:t>
      </w:r>
    </w:p>
    <w:p w14:paraId="1A53C0BB" w14:textId="16918E82" w:rsidR="00A34138" w:rsidRPr="00A34138" w:rsidRDefault="00A34138" w:rsidP="00A34138">
      <w:pPr>
        <w:pStyle w:val="ListParagraph"/>
        <w:numPr>
          <w:ilvl w:val="1"/>
          <w:numId w:val="1"/>
        </w:numPr>
        <w:rPr>
          <w:rFonts w:asciiTheme="minorHAnsi" w:hAnsiTheme="minorHAnsi" w:cstheme="minorHAnsi"/>
        </w:rPr>
      </w:pPr>
      <w:r w:rsidRPr="00A34138">
        <w:rPr>
          <w:rFonts w:asciiTheme="minorHAnsi" w:hAnsiTheme="minorHAnsi" w:cstheme="minorHAnsi"/>
          <w:b/>
        </w:rPr>
        <w:t xml:space="preserve">Retail Discount </w:t>
      </w:r>
      <w:r>
        <w:rPr>
          <w:rFonts w:asciiTheme="minorHAnsi" w:hAnsiTheme="minorHAnsi" w:cstheme="minorHAnsi"/>
          <w:b/>
        </w:rPr>
        <w:t xml:space="preserve">- </w:t>
      </w:r>
      <w:r>
        <w:rPr>
          <w:rFonts w:asciiTheme="minorHAnsi" w:hAnsiTheme="minorHAnsi" w:cstheme="minorHAnsi"/>
        </w:rPr>
        <w:t>M</w:t>
      </w:r>
      <w:r w:rsidRPr="00A34138">
        <w:rPr>
          <w:rFonts w:asciiTheme="minorHAnsi" w:hAnsiTheme="minorHAnsi" w:cstheme="minorHAnsi"/>
        </w:rPr>
        <w:t>useums have been added to the Retail Hospitality and Leisure property definition for relief for 2020/21 giving 100% relief, previous retail reliefs have not included museums or other leisure attractions likely to be occupied by charities and so has not previously been of benefit and at present there is no guidance on whether this relief will be of relevance to museums in the future.</w:t>
      </w:r>
    </w:p>
    <w:p w14:paraId="1A158B52" w14:textId="25FB9C89" w:rsidR="00A34138" w:rsidRPr="00A34138" w:rsidRDefault="00A34138" w:rsidP="00A34138">
      <w:pPr>
        <w:pStyle w:val="ListParagraph"/>
        <w:numPr>
          <w:ilvl w:val="1"/>
          <w:numId w:val="1"/>
        </w:numPr>
        <w:rPr>
          <w:rFonts w:asciiTheme="minorHAnsi" w:hAnsiTheme="minorHAnsi" w:cstheme="minorHAnsi"/>
        </w:rPr>
      </w:pPr>
      <w:r w:rsidRPr="00A34138">
        <w:rPr>
          <w:rFonts w:asciiTheme="minorHAnsi" w:hAnsiTheme="minorHAnsi" w:cstheme="minorHAnsi"/>
          <w:b/>
        </w:rPr>
        <w:t>Small Business Rates Relief</w:t>
      </w:r>
      <w:r w:rsidRPr="00A34138">
        <w:rPr>
          <w:rFonts w:asciiTheme="minorHAnsi" w:hAnsiTheme="minorHAnsi" w:cstheme="minorHAnsi"/>
        </w:rPr>
        <w:t xml:space="preserve"> </w:t>
      </w:r>
      <w:r>
        <w:rPr>
          <w:rFonts w:asciiTheme="minorHAnsi" w:hAnsiTheme="minorHAnsi" w:cstheme="minorHAnsi"/>
        </w:rPr>
        <w:t>– C</w:t>
      </w:r>
      <w:r w:rsidRPr="00A34138">
        <w:rPr>
          <w:rFonts w:asciiTheme="minorHAnsi" w:hAnsiTheme="minorHAnsi" w:cstheme="minorHAnsi"/>
        </w:rPr>
        <w:t xml:space="preserve">harities are not eligible if they are already receiving charitable relief. </w:t>
      </w:r>
      <w:proofErr w:type="gramStart"/>
      <w:r w:rsidRPr="00A34138">
        <w:rPr>
          <w:rFonts w:asciiTheme="minorHAnsi" w:hAnsiTheme="minorHAnsi" w:cstheme="minorHAnsi"/>
        </w:rPr>
        <w:t>Therefore</w:t>
      </w:r>
      <w:proofErr w:type="gramEnd"/>
      <w:r w:rsidRPr="00A34138">
        <w:rPr>
          <w:rFonts w:asciiTheme="minorHAnsi" w:hAnsiTheme="minorHAnsi" w:cstheme="minorHAnsi"/>
        </w:rPr>
        <w:t xml:space="preserve"> a museum with a Rateable Value of less than £14,400 receives less relief than a commercial occupier would obtain.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many </w:t>
      </w:r>
      <w:r w:rsidRPr="00A34138">
        <w:rPr>
          <w:rFonts w:asciiTheme="minorHAnsi" w:hAnsiTheme="minorHAnsi" w:cstheme="minorHAnsi"/>
        </w:rPr>
        <w:lastRenderedPageBreak/>
        <w:t>museums, in common with charities generally, have trading subsidiaries. Those subsidiaries may be liable for rates on shops or cafes and so may be eligible for Small Business Rates Relief.</w:t>
      </w:r>
    </w:p>
    <w:p w14:paraId="478E83E8" w14:textId="77777777" w:rsidR="00A34138" w:rsidRPr="00A34138" w:rsidRDefault="00A34138" w:rsidP="00A34138">
      <w:pPr>
        <w:pStyle w:val="ListParagraph"/>
        <w:numPr>
          <w:ilvl w:val="1"/>
          <w:numId w:val="1"/>
        </w:numPr>
        <w:rPr>
          <w:rFonts w:asciiTheme="minorHAnsi" w:hAnsiTheme="minorHAnsi" w:cstheme="minorHAnsi"/>
        </w:rPr>
      </w:pPr>
      <w:r w:rsidRPr="00A34138">
        <w:rPr>
          <w:rFonts w:asciiTheme="minorHAnsi" w:hAnsiTheme="minorHAnsi" w:cstheme="minorHAnsi"/>
          <w:b/>
        </w:rPr>
        <w:t>Empty Property Relief</w:t>
      </w:r>
      <w:r w:rsidRPr="00A34138">
        <w:rPr>
          <w:rFonts w:asciiTheme="minorHAnsi" w:hAnsiTheme="minorHAnsi" w:cstheme="minorHAnsi"/>
        </w:rPr>
        <w:t>, i.e. 3 months of no empty property rates when first vacated is not normally applicable to museums. Vacant properties held by a charity are not liable for rates if, when next occupied, the property will be occupied wholly or mainly for charitable purposes. There are however other ramifications for museums and charities which will be considered below.</w:t>
      </w:r>
    </w:p>
    <w:p w14:paraId="4167412F" w14:textId="77777777" w:rsidR="00A34138" w:rsidRPr="00A34138" w:rsidRDefault="00A34138" w:rsidP="00A34138">
      <w:pPr>
        <w:pStyle w:val="ListParagraph"/>
        <w:numPr>
          <w:ilvl w:val="1"/>
          <w:numId w:val="1"/>
        </w:numPr>
        <w:rPr>
          <w:rFonts w:asciiTheme="minorHAnsi" w:hAnsiTheme="minorHAnsi" w:cstheme="minorHAnsi"/>
        </w:rPr>
      </w:pPr>
      <w:r w:rsidRPr="00A34138">
        <w:rPr>
          <w:rFonts w:asciiTheme="minorHAnsi" w:hAnsiTheme="minorHAnsi" w:cstheme="minorHAnsi"/>
          <w:b/>
        </w:rPr>
        <w:t>Rural Relief</w:t>
      </w:r>
      <w:r w:rsidRPr="00A34138">
        <w:rPr>
          <w:rFonts w:asciiTheme="minorHAnsi" w:hAnsiTheme="minorHAnsi" w:cstheme="minorHAnsi"/>
        </w:rPr>
        <w:t xml:space="preserve"> is not applicable, but perhaps should be extended to include museums.</w:t>
      </w:r>
    </w:p>
    <w:p w14:paraId="313C831D" w14:textId="77777777" w:rsidR="00A34138" w:rsidRPr="00A34138" w:rsidRDefault="00A34138" w:rsidP="00A34138">
      <w:pPr>
        <w:pStyle w:val="ListParagraph"/>
        <w:ind w:left="1440"/>
        <w:rPr>
          <w:rFonts w:asciiTheme="minorHAnsi" w:hAnsiTheme="minorHAnsi" w:cstheme="minorHAnsi"/>
        </w:rPr>
      </w:pPr>
    </w:p>
    <w:p w14:paraId="797EBD9B" w14:textId="77777777" w:rsidR="00A34138" w:rsidRPr="00A34138" w:rsidRDefault="00A34138" w:rsidP="00A34138">
      <w:pPr>
        <w:pStyle w:val="ListParagraph"/>
        <w:rPr>
          <w:rFonts w:asciiTheme="minorHAnsi" w:hAnsiTheme="minorHAnsi" w:cstheme="minorHAnsi"/>
        </w:rPr>
      </w:pPr>
    </w:p>
    <w:p w14:paraId="0E3CEDDB" w14:textId="77777777" w:rsidR="00A34138" w:rsidRPr="00A34138" w:rsidRDefault="00A34138" w:rsidP="00A34138">
      <w:pPr>
        <w:pStyle w:val="ListParagraph"/>
        <w:rPr>
          <w:rFonts w:asciiTheme="minorHAnsi" w:hAnsiTheme="minorHAnsi" w:cstheme="minorHAnsi"/>
        </w:rPr>
      </w:pPr>
      <w:r w:rsidRPr="00A34138">
        <w:rPr>
          <w:rFonts w:asciiTheme="minorHAnsi" w:hAnsiTheme="minorHAnsi" w:cstheme="minorHAnsi"/>
          <w:b/>
        </w:rPr>
        <w:t>Intended Outcomes and Proposed Changes</w:t>
      </w:r>
    </w:p>
    <w:p w14:paraId="527D987D" w14:textId="77777777" w:rsidR="00A34138" w:rsidRPr="00A34138" w:rsidRDefault="00A34138" w:rsidP="00A34138">
      <w:pPr>
        <w:pStyle w:val="ListParagraph"/>
        <w:rPr>
          <w:rFonts w:asciiTheme="minorHAnsi" w:hAnsiTheme="minorHAnsi" w:cstheme="minorHAnsi"/>
          <w:b/>
        </w:rPr>
      </w:pPr>
    </w:p>
    <w:p w14:paraId="374FDA83" w14:textId="77777777" w:rsidR="00A34138" w:rsidRPr="00A34138" w:rsidRDefault="00A34138" w:rsidP="00A34138">
      <w:pPr>
        <w:pStyle w:val="ListParagraph"/>
        <w:rPr>
          <w:rFonts w:asciiTheme="minorHAnsi" w:hAnsiTheme="minorHAnsi" w:cstheme="minorHAnsi"/>
        </w:rPr>
      </w:pPr>
      <w:r w:rsidRPr="00A34138">
        <w:rPr>
          <w:rFonts w:asciiTheme="minorHAnsi" w:hAnsiTheme="minorHAnsi" w:cstheme="minorHAnsi"/>
        </w:rPr>
        <w:t xml:space="preserve">The following responses are based on the stated intentions in Appendix A to the consultation paper. </w:t>
      </w:r>
    </w:p>
    <w:p w14:paraId="0D7EAB09" w14:textId="77777777" w:rsidR="00A34138" w:rsidRPr="00A34138" w:rsidRDefault="00A34138" w:rsidP="00A34138">
      <w:pPr>
        <w:pStyle w:val="ListParagraph"/>
        <w:rPr>
          <w:rFonts w:asciiTheme="minorHAnsi" w:hAnsiTheme="minorHAnsi" w:cstheme="minorHAnsi"/>
        </w:rPr>
      </w:pPr>
    </w:p>
    <w:p w14:paraId="4F742AC5" w14:textId="34F1621E" w:rsidR="00A34138" w:rsidRPr="00A34138" w:rsidRDefault="00A34138" w:rsidP="00A34138">
      <w:pPr>
        <w:pStyle w:val="ListParagraph"/>
        <w:numPr>
          <w:ilvl w:val="0"/>
          <w:numId w:val="2"/>
        </w:numPr>
        <w:rPr>
          <w:rFonts w:asciiTheme="minorHAnsi" w:hAnsiTheme="minorHAnsi" w:cstheme="minorHAnsi"/>
        </w:rPr>
      </w:pPr>
      <w:r w:rsidRPr="00A34138">
        <w:rPr>
          <w:rFonts w:asciiTheme="minorHAnsi" w:hAnsiTheme="minorHAnsi" w:cstheme="minorHAnsi"/>
          <w:b/>
        </w:rPr>
        <w:t xml:space="preserve">Charitable </w:t>
      </w:r>
      <w:proofErr w:type="gramStart"/>
      <w:r w:rsidRPr="00A34138">
        <w:rPr>
          <w:rFonts w:asciiTheme="minorHAnsi" w:hAnsiTheme="minorHAnsi" w:cstheme="minorHAnsi"/>
          <w:b/>
        </w:rPr>
        <w:t xml:space="preserve">Relief </w:t>
      </w:r>
      <w:r>
        <w:rPr>
          <w:rFonts w:asciiTheme="minorHAnsi" w:hAnsiTheme="minorHAnsi" w:cstheme="minorHAnsi"/>
        </w:rPr>
        <w:t xml:space="preserve"> -</w:t>
      </w:r>
      <w:proofErr w:type="gramEnd"/>
      <w:r>
        <w:rPr>
          <w:rFonts w:asciiTheme="minorHAnsi" w:hAnsiTheme="minorHAnsi" w:cstheme="minorHAnsi"/>
        </w:rPr>
        <w:t xml:space="preserve"> T</w:t>
      </w:r>
      <w:r w:rsidRPr="00A34138">
        <w:rPr>
          <w:rFonts w:asciiTheme="minorHAnsi" w:hAnsiTheme="minorHAnsi" w:cstheme="minorHAnsi"/>
        </w:rPr>
        <w:t xml:space="preserve">he stated intention is to support the charity sector and it is very effective in achieving this.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there is </w:t>
      </w:r>
      <w:r>
        <w:rPr>
          <w:rFonts w:asciiTheme="minorHAnsi" w:hAnsiTheme="minorHAnsi" w:cstheme="minorHAnsi"/>
        </w:rPr>
        <w:t xml:space="preserve">now </w:t>
      </w:r>
      <w:r w:rsidRPr="00A34138">
        <w:rPr>
          <w:rFonts w:asciiTheme="minorHAnsi" w:hAnsiTheme="minorHAnsi" w:cstheme="minorHAnsi"/>
        </w:rPr>
        <w:t xml:space="preserve">a reduced certainty that this relief will be granted. There have been recent cases regarding the occupation of properties by charities where it has been claimed that the properties are not wholly or mainly used for charitable purposes and relief is being denied or withdrawn. Some councils have opted to use revenue as the principle test for determining whether the use is wholly or mainly for charitable purposes. Arguably this follows the House of Lords case of Oxfam v Birmingham City Council.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in that case the only use of the property was retailing, the question being which of the retail streams qualified as being charitable purposes and the proportion of use was equated to the respective income for each stream. The HL held that the shops were not wholly or mainly occupied for charitable purposes because the only income stream held to be a charitable purpose was the sale of goods linked to overseas charitable projects. Following that </w:t>
      </w:r>
      <w:proofErr w:type="gramStart"/>
      <w:r w:rsidRPr="00A34138">
        <w:rPr>
          <w:rFonts w:asciiTheme="minorHAnsi" w:hAnsiTheme="minorHAnsi" w:cstheme="minorHAnsi"/>
        </w:rPr>
        <w:t>case</w:t>
      </w:r>
      <w:proofErr w:type="gramEnd"/>
      <w:r w:rsidRPr="00A34138">
        <w:rPr>
          <w:rFonts w:asciiTheme="minorHAnsi" w:hAnsiTheme="minorHAnsi" w:cstheme="minorHAnsi"/>
        </w:rPr>
        <w:t xml:space="preserve"> the law was changed so that sale of donated goods was defined as a charitable purpose which has the effect of reversing the HL decision and making the occupation of charity shops eligible for relief. To apply income as being a reliable test of use where there are different activities within the property is to unfairly discriminate against the charitable uses which, by their nature will be less commercially oriented. In the case of museums many are dependent on income from shops, cafes, weddings, conferences, filming and other commercial income to be able to fund the charitable activity. </w:t>
      </w:r>
      <w:proofErr w:type="gramStart"/>
      <w:r w:rsidRPr="00A34138">
        <w:rPr>
          <w:rFonts w:asciiTheme="minorHAnsi" w:hAnsiTheme="minorHAnsi" w:cstheme="minorHAnsi"/>
        </w:rPr>
        <w:t>Therefore</w:t>
      </w:r>
      <w:proofErr w:type="gramEnd"/>
      <w:r w:rsidRPr="00A34138">
        <w:rPr>
          <w:rFonts w:asciiTheme="minorHAnsi" w:hAnsiTheme="minorHAnsi" w:cstheme="minorHAnsi"/>
        </w:rPr>
        <w:t xml:space="preserve"> the use of a small part of the property for commercial uses may generate more income than all of the other charitable uses in the remainder of the property. Other measures of use have been considered and in the case of Kenya Aid Programme v Sheffield City Council the council used the efficiency of the charities use of the property as a measure claiming that more efficient use of the space would require less than 50% of the space. The current lack of clear guidance is a source for concern. The understandable concern by councils that rates income is being lost due to this relief being granted </w:t>
      </w:r>
      <w:r w:rsidRPr="00A34138">
        <w:rPr>
          <w:rFonts w:asciiTheme="minorHAnsi" w:hAnsiTheme="minorHAnsi" w:cstheme="minorHAnsi"/>
        </w:rPr>
        <w:lastRenderedPageBreak/>
        <w:t xml:space="preserve">incorrectly.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this is counter-productive. If charities are to be self-financing then they need to be able to raise funds by maximising the potential of the </w:t>
      </w:r>
      <w:proofErr w:type="gramStart"/>
      <w:r w:rsidRPr="00A34138">
        <w:rPr>
          <w:rFonts w:asciiTheme="minorHAnsi" w:hAnsiTheme="minorHAnsi" w:cstheme="minorHAnsi"/>
        </w:rPr>
        <w:t>properties</w:t>
      </w:r>
      <w:proofErr w:type="gramEnd"/>
      <w:r w:rsidRPr="00A34138">
        <w:rPr>
          <w:rFonts w:asciiTheme="minorHAnsi" w:hAnsiTheme="minorHAnsi" w:cstheme="minorHAnsi"/>
        </w:rPr>
        <w:t xml:space="preserve"> they occupy. If as a result the Charitable Relief is removed then the charity may be worse off than if there was no commercial activity, but this then calls into question the viability of the museum. If the charity restricts its non-charitable activities, to avoid the loss of relief, it will either be unable to fund its charitable objectives or be more reliant on grants and support from government sources. The system should therefore be altered to provide greater clarity either by removal of the requirement that the property be wholly or mainly used for charitable purposes or by extending the definition of charitable purposes to include all activities intended to generate income which will be used to support the charitable objectives in the same way as the law was amended following the Oxfam case to define the sale of donated goods as a charitable purpose.</w:t>
      </w:r>
    </w:p>
    <w:p w14:paraId="3699B1BE" w14:textId="77777777" w:rsidR="00A34138" w:rsidRPr="00A34138" w:rsidRDefault="00A34138" w:rsidP="00A34138">
      <w:pPr>
        <w:pStyle w:val="ListParagraph"/>
        <w:numPr>
          <w:ilvl w:val="0"/>
          <w:numId w:val="2"/>
        </w:numPr>
        <w:rPr>
          <w:rFonts w:asciiTheme="minorHAnsi" w:hAnsiTheme="minorHAnsi" w:cstheme="minorHAnsi"/>
        </w:rPr>
      </w:pPr>
      <w:r w:rsidRPr="00A34138">
        <w:rPr>
          <w:rFonts w:asciiTheme="minorHAnsi" w:hAnsiTheme="minorHAnsi" w:cstheme="minorHAnsi"/>
          <w:b/>
        </w:rPr>
        <w:t xml:space="preserve">Non-profit Making Organisation Relief, </w:t>
      </w:r>
      <w:r w:rsidRPr="00A34138">
        <w:rPr>
          <w:rFonts w:asciiTheme="minorHAnsi" w:hAnsiTheme="minorHAnsi" w:cstheme="minorHAnsi"/>
        </w:rPr>
        <w:t>since 2013</w:t>
      </w:r>
      <w:r w:rsidRPr="00A34138">
        <w:rPr>
          <w:rFonts w:asciiTheme="minorHAnsi" w:hAnsiTheme="minorHAnsi" w:cstheme="minorHAnsi"/>
          <w:b/>
        </w:rPr>
        <w:t xml:space="preserve"> </w:t>
      </w:r>
      <w:r w:rsidRPr="00A34138">
        <w:rPr>
          <w:rFonts w:asciiTheme="minorHAnsi" w:hAnsiTheme="minorHAnsi" w:cstheme="minorHAnsi"/>
        </w:rPr>
        <w:t xml:space="preserve">when local government funding was radically amended there has been a steady decline in the number of local authorities willing or able to provide this support for charities and other non-profit organisations. Whilst we are not able to provide detailed statistics on </w:t>
      </w:r>
      <w:proofErr w:type="gramStart"/>
      <w:r w:rsidRPr="00A34138">
        <w:rPr>
          <w:rFonts w:asciiTheme="minorHAnsi" w:hAnsiTheme="minorHAnsi" w:cstheme="minorHAnsi"/>
        </w:rPr>
        <w:t>this</w:t>
      </w:r>
      <w:proofErr w:type="gramEnd"/>
      <w:r w:rsidRPr="00A34138">
        <w:rPr>
          <w:rFonts w:asciiTheme="minorHAnsi" w:hAnsiTheme="minorHAnsi" w:cstheme="minorHAnsi"/>
        </w:rPr>
        <w:t xml:space="preserve"> we are aware of councils the length and breadth of England who previously provided up to 20% relief, reducing the liability for charitable occupiers to Nil. We are aware that the number of councils providing this relief has been reducing year by year since 2013 thereby significantly increasing the liability for the museums with only 1 </w:t>
      </w:r>
      <w:proofErr w:type="gramStart"/>
      <w:r w:rsidRPr="00A34138">
        <w:rPr>
          <w:rFonts w:asciiTheme="minorHAnsi" w:hAnsiTheme="minorHAnsi" w:cstheme="minorHAnsi"/>
        </w:rPr>
        <w:t>years</w:t>
      </w:r>
      <w:proofErr w:type="gramEnd"/>
      <w:r w:rsidRPr="00A34138">
        <w:rPr>
          <w:rFonts w:asciiTheme="minorHAnsi" w:hAnsiTheme="minorHAnsi" w:cstheme="minorHAnsi"/>
        </w:rPr>
        <w:t xml:space="preserve"> notice.  Because the relief is determined at a local level  there is no certainty of where and when relief will be given and differing criteria will mean that a museum may be eligible for some relief in one billing authority area but not another. There is also the potential that the local policy will be amended with relief being withdrawn so that long term planning must now assume that there will be no discretionary relief, which may threaten the viability of the museum. The lack of any common set of rules, and the potential for those rules to be altered from year to year makes budgeting for future years uncertain. Targeting is also an issue because it falls on the ratepayer to make the request of the council and to try to determine, with limited guidance, what criteria they are required to fulfil for eligibility. There should be a more consistent approach based on central guidance to remove the uncertainty, lack of certainty and clarity is not in accord with the principles of good tax design.</w:t>
      </w:r>
    </w:p>
    <w:p w14:paraId="41448843" w14:textId="77777777" w:rsidR="00A34138" w:rsidRPr="00A34138" w:rsidRDefault="00A34138" w:rsidP="00A34138">
      <w:pPr>
        <w:pStyle w:val="ListParagraph"/>
        <w:numPr>
          <w:ilvl w:val="0"/>
          <w:numId w:val="2"/>
        </w:numPr>
        <w:rPr>
          <w:rFonts w:asciiTheme="minorHAnsi" w:hAnsiTheme="minorHAnsi" w:cstheme="minorHAnsi"/>
        </w:rPr>
      </w:pPr>
      <w:r w:rsidRPr="00A34138">
        <w:rPr>
          <w:rFonts w:asciiTheme="minorHAnsi" w:hAnsiTheme="minorHAnsi" w:cstheme="minorHAnsi"/>
          <w:b/>
        </w:rPr>
        <w:t xml:space="preserve">Retail Discount </w:t>
      </w:r>
      <w:r w:rsidRPr="00A34138">
        <w:rPr>
          <w:rFonts w:asciiTheme="minorHAnsi" w:hAnsiTheme="minorHAnsi" w:cstheme="minorHAnsi"/>
        </w:rPr>
        <w:t xml:space="preserve">the 100% allowance for 2020/21 has been extremely helpful in </w:t>
      </w:r>
      <w:proofErr w:type="gramStart"/>
      <w:r w:rsidRPr="00A34138">
        <w:rPr>
          <w:rFonts w:asciiTheme="minorHAnsi" w:hAnsiTheme="minorHAnsi" w:cstheme="minorHAnsi"/>
        </w:rPr>
        <w:t>off-setting</w:t>
      </w:r>
      <w:proofErr w:type="gramEnd"/>
      <w:r w:rsidRPr="00A34138">
        <w:rPr>
          <w:rFonts w:asciiTheme="minorHAnsi" w:hAnsiTheme="minorHAnsi" w:cstheme="minorHAnsi"/>
        </w:rPr>
        <w:t xml:space="preserve"> a small part of the losses due to closure of museums from 23</w:t>
      </w:r>
      <w:r w:rsidRPr="00A34138">
        <w:rPr>
          <w:rFonts w:asciiTheme="minorHAnsi" w:hAnsiTheme="minorHAnsi" w:cstheme="minorHAnsi"/>
          <w:vertAlign w:val="superscript"/>
        </w:rPr>
        <w:t>rd</w:t>
      </w:r>
      <w:r w:rsidRPr="00A34138">
        <w:rPr>
          <w:rFonts w:asciiTheme="minorHAnsi" w:hAnsiTheme="minorHAnsi" w:cstheme="minorHAnsi"/>
        </w:rPr>
        <w:t xml:space="preserve"> March onwards. It is too early to say if the museum visitor numbers and income will recover in 2021, however this relief was only of benefit because it exceeded the 80% Charitable Relief, based on the worked examples for application of the relief given in MHCLG guidance then a relief of less than 80% will not affect the liability of charities. </w:t>
      </w:r>
      <w:proofErr w:type="gramStart"/>
      <w:r w:rsidRPr="00A34138">
        <w:rPr>
          <w:rFonts w:asciiTheme="minorHAnsi" w:hAnsiTheme="minorHAnsi" w:cstheme="minorHAnsi"/>
        </w:rPr>
        <w:t>Therefore</w:t>
      </w:r>
      <w:proofErr w:type="gramEnd"/>
      <w:r w:rsidRPr="00A34138">
        <w:rPr>
          <w:rFonts w:asciiTheme="minorHAnsi" w:hAnsiTheme="minorHAnsi" w:cstheme="minorHAnsi"/>
        </w:rPr>
        <w:t xml:space="preserve"> if this relief is to be repeated in following years the relief should be applied to the balance of the liability after the mandatory charitable relief has been applied.</w:t>
      </w:r>
    </w:p>
    <w:p w14:paraId="7D2C3BB1" w14:textId="77777777" w:rsidR="00A34138" w:rsidRPr="00A34138" w:rsidRDefault="00A34138" w:rsidP="00A34138">
      <w:pPr>
        <w:pStyle w:val="ListParagraph"/>
        <w:numPr>
          <w:ilvl w:val="0"/>
          <w:numId w:val="2"/>
        </w:numPr>
        <w:rPr>
          <w:rFonts w:asciiTheme="minorHAnsi" w:hAnsiTheme="minorHAnsi" w:cstheme="minorHAnsi"/>
        </w:rPr>
      </w:pPr>
      <w:r w:rsidRPr="00A34138">
        <w:rPr>
          <w:rFonts w:asciiTheme="minorHAnsi" w:hAnsiTheme="minorHAnsi" w:cstheme="minorHAnsi"/>
          <w:b/>
        </w:rPr>
        <w:t>Small Business Rates Relief</w:t>
      </w:r>
      <w:r w:rsidRPr="00A34138">
        <w:rPr>
          <w:rFonts w:asciiTheme="minorHAnsi" w:hAnsiTheme="minorHAnsi" w:cstheme="minorHAnsi"/>
        </w:rPr>
        <w:t xml:space="preserve"> this relief is said to be targeted to small businesses but in fact is targeted to small properties where the occupier has no other property. This </w:t>
      </w:r>
      <w:r w:rsidRPr="00A34138">
        <w:rPr>
          <w:rFonts w:asciiTheme="minorHAnsi" w:hAnsiTheme="minorHAnsi" w:cstheme="minorHAnsi"/>
        </w:rPr>
        <w:lastRenderedPageBreak/>
        <w:t xml:space="preserve">is not an accurate measure of the size of a business. The fact that charities receiving charitable relief cannot claim this relief is inequitable with profit making businesses receiving greater reliefs than </w:t>
      </w:r>
      <w:proofErr w:type="gramStart"/>
      <w:r w:rsidRPr="00A34138">
        <w:rPr>
          <w:rFonts w:asciiTheme="minorHAnsi" w:hAnsiTheme="minorHAnsi" w:cstheme="minorHAnsi"/>
        </w:rPr>
        <w:t>charities..</w:t>
      </w:r>
      <w:proofErr w:type="gramEnd"/>
      <w:r w:rsidRPr="00A34138">
        <w:rPr>
          <w:rFonts w:asciiTheme="minorHAnsi" w:hAnsiTheme="minorHAnsi" w:cstheme="minorHAnsi"/>
        </w:rPr>
        <w:t xml:space="preserve"> </w:t>
      </w:r>
      <w:proofErr w:type="gramStart"/>
      <w:r w:rsidRPr="00A34138">
        <w:rPr>
          <w:rFonts w:asciiTheme="minorHAnsi" w:hAnsiTheme="minorHAnsi" w:cstheme="minorHAnsi"/>
        </w:rPr>
        <w:t>Therefore</w:t>
      </w:r>
      <w:proofErr w:type="gramEnd"/>
      <w:r w:rsidRPr="00A34138">
        <w:rPr>
          <w:rFonts w:asciiTheme="minorHAnsi" w:hAnsiTheme="minorHAnsi" w:cstheme="minorHAnsi"/>
        </w:rPr>
        <w:t xml:space="preserve"> charities should be able to opt for either charitable relief or Small Business Rates Relief.</w:t>
      </w:r>
    </w:p>
    <w:p w14:paraId="24FAEED6" w14:textId="77777777" w:rsidR="00A34138" w:rsidRPr="00A34138" w:rsidRDefault="00A34138" w:rsidP="00A34138">
      <w:pPr>
        <w:pStyle w:val="ListParagraph"/>
        <w:numPr>
          <w:ilvl w:val="0"/>
          <w:numId w:val="2"/>
        </w:numPr>
        <w:rPr>
          <w:rFonts w:asciiTheme="minorHAnsi" w:hAnsiTheme="minorHAnsi" w:cstheme="minorHAnsi"/>
        </w:rPr>
      </w:pPr>
      <w:r w:rsidRPr="00A34138">
        <w:rPr>
          <w:rFonts w:asciiTheme="minorHAnsi" w:hAnsiTheme="minorHAnsi" w:cstheme="minorHAnsi"/>
          <w:b/>
        </w:rPr>
        <w:t xml:space="preserve">Empty Property Relief </w:t>
      </w:r>
      <w:r w:rsidRPr="00A34138">
        <w:rPr>
          <w:rFonts w:asciiTheme="minorHAnsi" w:hAnsiTheme="minorHAnsi" w:cstheme="minorHAnsi"/>
        </w:rPr>
        <w:t>further comments will be made in respect of this relief in answer to question 5 below.</w:t>
      </w:r>
    </w:p>
    <w:p w14:paraId="49A95332" w14:textId="77777777" w:rsidR="00A34138" w:rsidRPr="00A34138" w:rsidRDefault="00A34138" w:rsidP="00A34138">
      <w:pPr>
        <w:pStyle w:val="ListParagraph"/>
        <w:numPr>
          <w:ilvl w:val="0"/>
          <w:numId w:val="2"/>
        </w:numPr>
        <w:rPr>
          <w:rFonts w:asciiTheme="minorHAnsi" w:hAnsiTheme="minorHAnsi" w:cstheme="minorHAnsi"/>
        </w:rPr>
      </w:pPr>
      <w:r w:rsidRPr="00A34138">
        <w:rPr>
          <w:rFonts w:asciiTheme="minorHAnsi" w:hAnsiTheme="minorHAnsi" w:cstheme="minorHAnsi"/>
          <w:b/>
        </w:rPr>
        <w:t>Rural Relief</w:t>
      </w:r>
      <w:r w:rsidRPr="00A34138">
        <w:rPr>
          <w:rFonts w:asciiTheme="minorHAnsi" w:hAnsiTheme="minorHAnsi" w:cstheme="minorHAnsi"/>
        </w:rPr>
        <w:t xml:space="preserve"> whilst the majority of museums are not located in designated rural areas covered by this relief the presence of a museum close to rural communities will have a positive impact on the rural economy and will boost visitor numbers to the area with beneficial impacts on other local businesses as well as direct job creation. </w:t>
      </w:r>
      <w:proofErr w:type="gramStart"/>
      <w:r w:rsidRPr="00A34138">
        <w:rPr>
          <w:rFonts w:asciiTheme="minorHAnsi" w:hAnsiTheme="minorHAnsi" w:cstheme="minorHAnsi"/>
        </w:rPr>
        <w:t>Therefore</w:t>
      </w:r>
      <w:proofErr w:type="gramEnd"/>
      <w:r w:rsidRPr="00A34138">
        <w:rPr>
          <w:rFonts w:asciiTheme="minorHAnsi" w:hAnsiTheme="minorHAnsi" w:cstheme="minorHAnsi"/>
        </w:rPr>
        <w:t xml:space="preserve"> adding museums to the list of eligible businesses would help support the local community.</w:t>
      </w:r>
    </w:p>
    <w:p w14:paraId="7FE97BA1" w14:textId="77777777" w:rsidR="00A34138" w:rsidRPr="00A34138" w:rsidRDefault="00A34138" w:rsidP="00A34138">
      <w:pPr>
        <w:ind w:left="709"/>
        <w:rPr>
          <w:rFonts w:asciiTheme="minorHAnsi" w:hAnsiTheme="minorHAnsi" w:cstheme="minorHAnsi"/>
        </w:rPr>
      </w:pPr>
      <w:r w:rsidRPr="00A34138">
        <w:rPr>
          <w:rFonts w:asciiTheme="minorHAnsi" w:hAnsiTheme="minorHAnsi" w:cstheme="minorHAnsi"/>
        </w:rPr>
        <w:t>Due to the number of reliefs and the conflicts between reliefs and complexity of determining eligibility the system would be improved if there was greater clarity of how the reliefs interact and how eligibility is measured.</w:t>
      </w:r>
    </w:p>
    <w:p w14:paraId="3B38C0DB" w14:textId="77777777" w:rsidR="00A34138" w:rsidRPr="00A34138" w:rsidRDefault="00A34138" w:rsidP="00A34138">
      <w:pPr>
        <w:pStyle w:val="ListParagraph"/>
        <w:ind w:left="1440"/>
        <w:rPr>
          <w:rFonts w:asciiTheme="minorHAnsi" w:hAnsiTheme="minorHAnsi" w:cstheme="minorHAnsi"/>
        </w:rPr>
      </w:pPr>
    </w:p>
    <w:p w14:paraId="0B4B64A8"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The targeting of reliefs is primarily a matter for the billing authorities issuing the bills. The authorities are dependent upon accurate information in the rating list </w:t>
      </w:r>
      <w:proofErr w:type="gramStart"/>
      <w:r w:rsidRPr="00A34138">
        <w:rPr>
          <w:rFonts w:asciiTheme="minorHAnsi" w:hAnsiTheme="minorHAnsi" w:cstheme="minorHAnsi"/>
        </w:rPr>
        <w:t>and also</w:t>
      </w:r>
      <w:proofErr w:type="gramEnd"/>
      <w:r w:rsidRPr="00A34138">
        <w:rPr>
          <w:rFonts w:asciiTheme="minorHAnsi" w:hAnsiTheme="minorHAnsi" w:cstheme="minorHAnsi"/>
        </w:rPr>
        <w:t xml:space="preserve"> accurate details about the ratepayer and in the case of Charitable Relief, accurate and correctly interpreted, information about the use of the property. Inaccuracies in the rating list can hamper proper targeting. For </w:t>
      </w:r>
      <w:proofErr w:type="gramStart"/>
      <w:r w:rsidRPr="00A34138">
        <w:rPr>
          <w:rFonts w:asciiTheme="minorHAnsi" w:hAnsiTheme="minorHAnsi" w:cstheme="minorHAnsi"/>
        </w:rPr>
        <w:t>example</w:t>
      </w:r>
      <w:proofErr w:type="gramEnd"/>
      <w:r w:rsidRPr="00A34138">
        <w:rPr>
          <w:rFonts w:asciiTheme="minorHAnsi" w:hAnsiTheme="minorHAnsi" w:cstheme="minorHAnsi"/>
        </w:rPr>
        <w:t xml:space="preserve"> Fulham Palace Trust occupy the majority of the ground floor and some of the first floor, as well as the gardens and ancillary buildings, of Fulham Palace as a museum.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the entries in the rating list describe the various assessments covering the museum as offices. </w:t>
      </w:r>
      <w:proofErr w:type="gramStart"/>
      <w:r w:rsidRPr="00A34138">
        <w:rPr>
          <w:rFonts w:asciiTheme="minorHAnsi" w:hAnsiTheme="minorHAnsi" w:cstheme="minorHAnsi"/>
        </w:rPr>
        <w:t>Therefore</w:t>
      </w:r>
      <w:proofErr w:type="gramEnd"/>
      <w:r w:rsidRPr="00A34138">
        <w:rPr>
          <w:rFonts w:asciiTheme="minorHAnsi" w:hAnsiTheme="minorHAnsi" w:cstheme="minorHAnsi"/>
        </w:rPr>
        <w:t xml:space="preserve"> there was difficulty in having the Retail relief applied to the assessments. In the first instance the billing authority had not granted the relief, which does not apply to office use. It was necessary for Fulham Palace Trust to obtain professional advice on </w:t>
      </w:r>
      <w:proofErr w:type="gramStart"/>
      <w:r w:rsidRPr="00A34138">
        <w:rPr>
          <w:rFonts w:asciiTheme="minorHAnsi" w:hAnsiTheme="minorHAnsi" w:cstheme="minorHAnsi"/>
        </w:rPr>
        <w:t>whether or not</w:t>
      </w:r>
      <w:proofErr w:type="gramEnd"/>
      <w:r w:rsidRPr="00A34138">
        <w:rPr>
          <w:rFonts w:asciiTheme="minorHAnsi" w:hAnsiTheme="minorHAnsi" w:cstheme="minorHAnsi"/>
        </w:rPr>
        <w:t xml:space="preserve"> they were eligible and on how to word their application for the relief. </w:t>
      </w:r>
    </w:p>
    <w:p w14:paraId="6661455D" w14:textId="77777777" w:rsidR="00A34138" w:rsidRPr="00A34138" w:rsidRDefault="00A34138" w:rsidP="00A34138">
      <w:pPr>
        <w:pStyle w:val="ListParagraph"/>
        <w:rPr>
          <w:rFonts w:asciiTheme="minorHAnsi" w:hAnsiTheme="minorHAnsi" w:cstheme="minorHAnsi"/>
        </w:rPr>
      </w:pPr>
    </w:p>
    <w:p w14:paraId="3CAEF3CD" w14:textId="77777777" w:rsidR="00A34138" w:rsidRPr="00A34138" w:rsidRDefault="00A34138" w:rsidP="00A34138">
      <w:pPr>
        <w:pStyle w:val="ListParagraph"/>
        <w:rPr>
          <w:rFonts w:asciiTheme="minorHAnsi" w:hAnsiTheme="minorHAnsi" w:cstheme="minorHAnsi"/>
        </w:rPr>
      </w:pPr>
      <w:r w:rsidRPr="00A34138">
        <w:rPr>
          <w:rFonts w:asciiTheme="minorHAnsi" w:hAnsiTheme="minorHAnsi" w:cstheme="minorHAnsi"/>
        </w:rPr>
        <w:t xml:space="preserve">If it is necessary for the ratepayer to apply for the relief then the ratepayer needs to know what reliefs are available, the eligibility criteria and how those criteria are applied before the claim can be made. Information on reliefs is not widely known or understood putting the ratepayer at a disadvantage. </w:t>
      </w:r>
    </w:p>
    <w:p w14:paraId="1ECBD258" w14:textId="77777777" w:rsidR="00A34138" w:rsidRPr="00A34138" w:rsidRDefault="00A34138" w:rsidP="00A34138">
      <w:pPr>
        <w:pStyle w:val="ListParagraph"/>
        <w:rPr>
          <w:rFonts w:asciiTheme="minorHAnsi" w:hAnsiTheme="minorHAnsi" w:cstheme="minorHAnsi"/>
        </w:rPr>
      </w:pPr>
    </w:p>
    <w:p w14:paraId="0C514FC4" w14:textId="77777777" w:rsidR="00A34138" w:rsidRPr="00A34138" w:rsidRDefault="00A34138" w:rsidP="00A34138">
      <w:pPr>
        <w:pStyle w:val="ListParagraph"/>
        <w:rPr>
          <w:rFonts w:asciiTheme="minorHAnsi" w:hAnsiTheme="minorHAnsi" w:cstheme="minorHAnsi"/>
        </w:rPr>
      </w:pPr>
      <w:r w:rsidRPr="00A34138">
        <w:rPr>
          <w:rFonts w:asciiTheme="minorHAnsi" w:hAnsiTheme="minorHAnsi" w:cstheme="minorHAnsi"/>
        </w:rPr>
        <w:t xml:space="preserve">The number and complexity of reliefs has increased steadily since the introduction of the National </w:t>
      </w:r>
      <w:proofErr w:type="gramStart"/>
      <w:r w:rsidRPr="00A34138">
        <w:rPr>
          <w:rFonts w:asciiTheme="minorHAnsi" w:hAnsiTheme="minorHAnsi" w:cstheme="minorHAnsi"/>
        </w:rPr>
        <w:t>Non Domestic</w:t>
      </w:r>
      <w:proofErr w:type="gramEnd"/>
      <w:r w:rsidRPr="00A34138">
        <w:rPr>
          <w:rFonts w:asciiTheme="minorHAnsi" w:hAnsiTheme="minorHAnsi" w:cstheme="minorHAnsi"/>
        </w:rPr>
        <w:t xml:space="preserve"> Rates system and this proliferation of reliefs creates confusion for both the billing authorities and ratepayers. </w:t>
      </w:r>
    </w:p>
    <w:p w14:paraId="266DC4DB" w14:textId="77777777" w:rsidR="00A34138" w:rsidRPr="00A34138" w:rsidRDefault="00A34138" w:rsidP="00A34138">
      <w:pPr>
        <w:pStyle w:val="ListParagraph"/>
        <w:rPr>
          <w:rFonts w:asciiTheme="minorHAnsi" w:hAnsiTheme="minorHAnsi" w:cstheme="minorHAnsi"/>
        </w:rPr>
      </w:pPr>
    </w:p>
    <w:p w14:paraId="5C25D74E"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Only a small minority of museums are subject to leases. Those which are often pay low or nominal levels of rent. The application of Charitable Relief (which has been part of the tax regime for many decades) and other reliefs therefore have no impact on rents or the wider property market for this sector.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if the Charitable Relief is removed or reduced it may well affect the viability of the museum causing the closure of the museum and </w:t>
      </w:r>
      <w:r w:rsidRPr="00A34138">
        <w:rPr>
          <w:rFonts w:asciiTheme="minorHAnsi" w:hAnsiTheme="minorHAnsi" w:cstheme="minorHAnsi"/>
        </w:rPr>
        <w:lastRenderedPageBreak/>
        <w:t>termination of any lease. Funding for new buildings or extension and renovations of existing museums is dependent on grants, principally from National Lottery Heritage Fund. Applications for grants are accompanied by large amounts of supporting evidence including evidence of sustainability. The impact of Charitable and other reliefs is that there is a stronger argument in favour of sustainability. The loss of these reliefs would therefore endanger vital funding.</w:t>
      </w:r>
    </w:p>
    <w:p w14:paraId="32C1ABB2" w14:textId="77777777" w:rsidR="00A34138" w:rsidRPr="00A34138" w:rsidRDefault="00A34138" w:rsidP="00A34138">
      <w:pPr>
        <w:pStyle w:val="ListParagraph"/>
        <w:rPr>
          <w:rFonts w:asciiTheme="minorHAnsi" w:hAnsiTheme="minorHAnsi" w:cstheme="minorHAnsi"/>
        </w:rPr>
      </w:pPr>
    </w:p>
    <w:p w14:paraId="4AE495C5"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With respect to reliefs and exemptions the principle requirement is clarity and consistency. This is best achieved by having a uniform set of reliefs and exemptions that apply across England and which are not liable to change from authority to authority or from year to year. Therefore whilst we believe that the local authorities’ voices should be heard by central government when setting the reliefs and exemptions there should be no variation between authorities and there should be consistency from year to year, except in response to emergencies such as the 100% Retail Relief for 2020/21. </w:t>
      </w:r>
    </w:p>
    <w:p w14:paraId="3E5272B2" w14:textId="77777777" w:rsidR="00A34138" w:rsidRPr="00A34138" w:rsidRDefault="00A34138" w:rsidP="00A34138">
      <w:pPr>
        <w:pStyle w:val="ListParagraph"/>
        <w:rPr>
          <w:rFonts w:asciiTheme="minorHAnsi" w:hAnsiTheme="minorHAnsi" w:cstheme="minorHAnsi"/>
        </w:rPr>
      </w:pPr>
    </w:p>
    <w:p w14:paraId="7C06DF1E"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We are not aware of any intentional abuse of reliefs within the museum sector.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there is a place for the use of reliefs to enable charitable objectives to be met. For </w:t>
      </w:r>
      <w:proofErr w:type="gramStart"/>
      <w:r w:rsidRPr="00A34138">
        <w:rPr>
          <w:rFonts w:asciiTheme="minorHAnsi" w:hAnsiTheme="minorHAnsi" w:cstheme="minorHAnsi"/>
        </w:rPr>
        <w:t>example</w:t>
      </w:r>
      <w:proofErr w:type="gramEnd"/>
      <w:r w:rsidRPr="00A34138">
        <w:rPr>
          <w:rFonts w:asciiTheme="minorHAnsi" w:hAnsiTheme="minorHAnsi" w:cstheme="minorHAnsi"/>
        </w:rPr>
        <w:t xml:space="preserve"> the advent of Empty Property Rates has enabled a number of charities to take temporary occupation of vacant buildings at little or no cost, or even with a donation from the landlord. For </w:t>
      </w:r>
      <w:proofErr w:type="gramStart"/>
      <w:r w:rsidRPr="00A34138">
        <w:rPr>
          <w:rFonts w:asciiTheme="minorHAnsi" w:hAnsiTheme="minorHAnsi" w:cstheme="minorHAnsi"/>
        </w:rPr>
        <w:t>instance</w:t>
      </w:r>
      <w:proofErr w:type="gramEnd"/>
      <w:r w:rsidRPr="00A34138">
        <w:rPr>
          <w:rFonts w:asciiTheme="minorHAnsi" w:hAnsiTheme="minorHAnsi" w:cstheme="minorHAnsi"/>
        </w:rPr>
        <w:t xml:space="preserve"> small arts charities are able to stage exhibitions and workshops in vacant offices, shops, etc. The incentive for the landlord is that if the property is </w:t>
      </w:r>
      <w:proofErr w:type="gramStart"/>
      <w:r w:rsidRPr="00A34138">
        <w:rPr>
          <w:rFonts w:asciiTheme="minorHAnsi" w:hAnsiTheme="minorHAnsi" w:cstheme="minorHAnsi"/>
        </w:rPr>
        <w:t>occupied</w:t>
      </w:r>
      <w:proofErr w:type="gramEnd"/>
      <w:r w:rsidRPr="00A34138">
        <w:rPr>
          <w:rFonts w:asciiTheme="minorHAnsi" w:hAnsiTheme="minorHAnsi" w:cstheme="minorHAnsi"/>
        </w:rPr>
        <w:t xml:space="preserve"> they have no liability for the rates. The Charity can then occupy for charitable purposes at little or no cost and achieve objectives which would not be viable if a full commercial rent had to be paid. The current relief system does however create a potential trap for the charity. If it is deemed by the billing authority (as happened in the Kenya Aid case) that the charity are not wholly or mainly occupying for charitable purposes then the charity will suffer the consequences of full liability, whereas the owner of the building will still have no liability during the period of the lease. </w:t>
      </w:r>
    </w:p>
    <w:p w14:paraId="2EAA748A" w14:textId="77777777" w:rsidR="00A34138" w:rsidRPr="00A34138" w:rsidRDefault="00A34138" w:rsidP="00A34138">
      <w:pPr>
        <w:pStyle w:val="ListParagraph"/>
        <w:rPr>
          <w:rFonts w:asciiTheme="minorHAnsi" w:hAnsiTheme="minorHAnsi" w:cstheme="minorHAnsi"/>
        </w:rPr>
      </w:pPr>
    </w:p>
    <w:p w14:paraId="5C45A8AC" w14:textId="77777777" w:rsidR="00A34138" w:rsidRPr="00A34138" w:rsidRDefault="00A34138" w:rsidP="00A34138">
      <w:pPr>
        <w:pStyle w:val="ListParagraph"/>
        <w:rPr>
          <w:rFonts w:asciiTheme="minorHAnsi" w:hAnsiTheme="minorHAnsi" w:cstheme="minorHAnsi"/>
        </w:rPr>
      </w:pPr>
      <w:r w:rsidRPr="00A34138">
        <w:rPr>
          <w:rFonts w:asciiTheme="minorHAnsi" w:hAnsiTheme="minorHAnsi" w:cstheme="minorHAnsi"/>
        </w:rPr>
        <w:t xml:space="preserve">A worked example of how this can also have a negative impact on a charity, which is based on an actual case, involved an arts charity which had taken a lease on a 2 storey office building with the intention of occupying the whole for a specific project. Funding for the project fell through and the property stood empty while the charity put together an alternative project for which funding would be available. Whilst empty the charity was not liable for empty rates but was initially charged 100% empty rates because the building had been vacant for more than 3 months before the commencement of the lease. Prior to the commencement of the new project the charity allowed around 25% of the building to be used as rehearsal space for local bands. As the property was not wholly or mainly occupied the charity was then liable for 100% occupied rates </w:t>
      </w:r>
      <w:proofErr w:type="gramStart"/>
      <w:r w:rsidRPr="00A34138">
        <w:rPr>
          <w:rFonts w:asciiTheme="minorHAnsi" w:hAnsiTheme="minorHAnsi" w:cstheme="minorHAnsi"/>
        </w:rPr>
        <w:t>on the whole</w:t>
      </w:r>
      <w:proofErr w:type="gramEnd"/>
      <w:r w:rsidRPr="00A34138">
        <w:rPr>
          <w:rFonts w:asciiTheme="minorHAnsi" w:hAnsiTheme="minorHAnsi" w:cstheme="minorHAnsi"/>
        </w:rPr>
        <w:t xml:space="preserve"> (despite the fact that 75% of the building remained vacant with the intention to fully occupy for charitable purposes). The new project got under way in phases and only when the council where persuaded that the use had exceeded 50% was charitable relief applied. The method for measuring use was arbitrary, and the </w:t>
      </w:r>
      <w:proofErr w:type="gramStart"/>
      <w:r w:rsidRPr="00A34138">
        <w:rPr>
          <w:rFonts w:asciiTheme="minorHAnsi" w:hAnsiTheme="minorHAnsi" w:cstheme="minorHAnsi"/>
        </w:rPr>
        <w:t>longer term</w:t>
      </w:r>
      <w:proofErr w:type="gramEnd"/>
      <w:r w:rsidRPr="00A34138">
        <w:rPr>
          <w:rFonts w:asciiTheme="minorHAnsi" w:hAnsiTheme="minorHAnsi" w:cstheme="minorHAnsi"/>
        </w:rPr>
        <w:t xml:space="preserve"> intentions of the charity were ignored except when the property was fully occupied.  Another example of the arbitrary nature of the granting of </w:t>
      </w:r>
      <w:r w:rsidRPr="00A34138">
        <w:rPr>
          <w:rFonts w:asciiTheme="minorHAnsi" w:hAnsiTheme="minorHAnsi" w:cstheme="minorHAnsi"/>
        </w:rPr>
        <w:lastRenderedPageBreak/>
        <w:t xml:space="preserve">relief involved a temporary art gallery in a vacant shop. The charity was refused charitable relief because the floor space was predominantly vacant with only a few pictures on the wall. The council was eventually persuaded that the nature of an art gallery is that the space is predominantly empty with pictures on the wall and therefore the space was wholly occupied for the charitable purpose of providing a gallery. In both cases the charities where required to engage the professional services of Lambert Smith Hampton to obtain any reliefs. </w:t>
      </w:r>
      <w:proofErr w:type="gramStart"/>
      <w:r w:rsidRPr="00A34138">
        <w:rPr>
          <w:rFonts w:asciiTheme="minorHAnsi" w:hAnsiTheme="minorHAnsi" w:cstheme="minorHAnsi"/>
        </w:rPr>
        <w:t>Therefore</w:t>
      </w:r>
      <w:proofErr w:type="gramEnd"/>
      <w:r w:rsidRPr="00A34138">
        <w:rPr>
          <w:rFonts w:asciiTheme="minorHAnsi" w:hAnsiTheme="minorHAnsi" w:cstheme="minorHAnsi"/>
        </w:rPr>
        <w:t xml:space="preserve"> the question of tackling abuse is in our experience the wrong question. The museum and charity sector are bound by their charitable status to act in the most appropriate manner, which includes taking advantage of such opportunities as the reliefs and other tax regimes present in order to promote their charitable objectives. Any abuse of that charitable status is a matter for the Charity Commission and not the tax regime. But any change of the </w:t>
      </w:r>
      <w:proofErr w:type="gramStart"/>
      <w:r w:rsidRPr="00A34138">
        <w:rPr>
          <w:rFonts w:asciiTheme="minorHAnsi" w:hAnsiTheme="minorHAnsi" w:cstheme="minorHAnsi"/>
        </w:rPr>
        <w:t>reliefs</w:t>
      </w:r>
      <w:proofErr w:type="gramEnd"/>
      <w:r w:rsidRPr="00A34138">
        <w:rPr>
          <w:rFonts w:asciiTheme="minorHAnsi" w:hAnsiTheme="minorHAnsi" w:cstheme="minorHAnsi"/>
        </w:rPr>
        <w:t xml:space="preserve"> regulations intended to penalise organisations taking benefit of the reliefs will be detrimental and in the long term unlikely to provide any additional income to the councils and Treasury. It should be noted that landlords and occupiers in liquidation or administration pay no rates.  We are aware that there have been schemes using special purpose vehicles abusing the Insolvency Act provisions to avoid empty rates, </w:t>
      </w:r>
      <w:proofErr w:type="gramStart"/>
      <w:r w:rsidRPr="00A34138">
        <w:rPr>
          <w:rFonts w:asciiTheme="minorHAnsi" w:hAnsiTheme="minorHAnsi" w:cstheme="minorHAnsi"/>
        </w:rPr>
        <w:t>However</w:t>
      </w:r>
      <w:proofErr w:type="gramEnd"/>
      <w:r w:rsidRPr="00A34138">
        <w:rPr>
          <w:rFonts w:asciiTheme="minorHAnsi" w:hAnsiTheme="minorHAnsi" w:cstheme="minorHAnsi"/>
        </w:rPr>
        <w:t xml:space="preserve"> that is not relevant to the charity sector or museums in particular.</w:t>
      </w:r>
    </w:p>
    <w:p w14:paraId="7764C6D1" w14:textId="77777777" w:rsidR="00A34138" w:rsidRPr="00A34138" w:rsidRDefault="00A34138" w:rsidP="00A34138">
      <w:pPr>
        <w:rPr>
          <w:rFonts w:asciiTheme="minorHAnsi" w:hAnsiTheme="minorHAnsi" w:cstheme="minorHAnsi"/>
        </w:rPr>
      </w:pPr>
      <w:r w:rsidRPr="00A34138">
        <w:rPr>
          <w:rFonts w:asciiTheme="minorHAnsi" w:hAnsiTheme="minorHAnsi" w:cstheme="minorHAnsi"/>
          <w:b/>
        </w:rPr>
        <w:t>Section 3.2 – The Business Rates Multiplier</w:t>
      </w:r>
    </w:p>
    <w:p w14:paraId="702C3530"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The increase in the multiplier from the initial rate of £0.348/£ at the start of the 1990 List to the small business rate multiplier of £0.466/£ at the beginning of the 2017 Rating List shows that the resetting of the multiplier at beginning of each list has not reset the starting point at the beginning of each revaluation despite the increase in Rateable Values which has generally outstripped the rate of inflation since the start of the National Non Domestic Rating system in1990. It is also notable that despite the real terms reduction in public funding since 2013 the rates burden has not been reduced for </w:t>
      </w:r>
      <w:proofErr w:type="gramStart"/>
      <w:r w:rsidRPr="00A34138">
        <w:rPr>
          <w:rFonts w:asciiTheme="minorHAnsi" w:hAnsiTheme="minorHAnsi" w:cstheme="minorHAnsi"/>
        </w:rPr>
        <w:t>the majority of</w:t>
      </w:r>
      <w:proofErr w:type="gramEnd"/>
      <w:r w:rsidRPr="00A34138">
        <w:rPr>
          <w:rFonts w:asciiTheme="minorHAnsi" w:hAnsiTheme="minorHAnsi" w:cstheme="minorHAnsi"/>
        </w:rPr>
        <w:t xml:space="preserve"> ratepayers. Dealing specifically with the rates for museums, the following table shows the total value for all properties with a description of museum in the rating lists, the lower rate multiplier at the start of each rating list and the impact on underlying liability:</w:t>
      </w:r>
    </w:p>
    <w:tbl>
      <w:tblPr>
        <w:tblStyle w:val="TableGrid"/>
        <w:tblW w:w="0" w:type="auto"/>
        <w:tblInd w:w="578" w:type="dxa"/>
        <w:tblLook w:val="04A0" w:firstRow="1" w:lastRow="0" w:firstColumn="1" w:lastColumn="0" w:noHBand="0" w:noVBand="1"/>
      </w:tblPr>
      <w:tblGrid>
        <w:gridCol w:w="1363"/>
        <w:gridCol w:w="1918"/>
        <w:gridCol w:w="1509"/>
        <w:gridCol w:w="2243"/>
        <w:gridCol w:w="1405"/>
      </w:tblGrid>
      <w:tr w:rsidR="00A34138" w:rsidRPr="00A34138" w14:paraId="51E2EF65" w14:textId="77777777" w:rsidTr="00CA6100">
        <w:tc>
          <w:tcPr>
            <w:tcW w:w="1405" w:type="dxa"/>
          </w:tcPr>
          <w:p w14:paraId="6B01569D"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Rating List</w:t>
            </w:r>
          </w:p>
        </w:tc>
        <w:tc>
          <w:tcPr>
            <w:tcW w:w="1953" w:type="dxa"/>
          </w:tcPr>
          <w:p w14:paraId="2D64BFB2"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Total Rateable Value</w:t>
            </w:r>
          </w:p>
        </w:tc>
        <w:tc>
          <w:tcPr>
            <w:tcW w:w="1559" w:type="dxa"/>
          </w:tcPr>
          <w:p w14:paraId="0D1AD07B"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Rate/£ (lower rate)</w:t>
            </w:r>
          </w:p>
        </w:tc>
        <w:tc>
          <w:tcPr>
            <w:tcW w:w="2310" w:type="dxa"/>
          </w:tcPr>
          <w:p w14:paraId="58BCB6BB"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Liability</w:t>
            </w:r>
          </w:p>
        </w:tc>
        <w:tc>
          <w:tcPr>
            <w:tcW w:w="1437" w:type="dxa"/>
          </w:tcPr>
          <w:p w14:paraId="5ABAF8AD"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 Increase</w:t>
            </w:r>
          </w:p>
        </w:tc>
      </w:tr>
      <w:tr w:rsidR="00A34138" w:rsidRPr="00A34138" w14:paraId="286D29E1" w14:textId="77777777" w:rsidTr="00CA6100">
        <w:tc>
          <w:tcPr>
            <w:tcW w:w="1405" w:type="dxa"/>
          </w:tcPr>
          <w:p w14:paraId="0A06DAC6" w14:textId="77777777" w:rsidR="00A34138" w:rsidRPr="00A34138" w:rsidRDefault="00A34138" w:rsidP="00CA6100">
            <w:pPr>
              <w:rPr>
                <w:rFonts w:asciiTheme="minorHAnsi" w:hAnsiTheme="minorHAnsi" w:cstheme="minorHAnsi"/>
              </w:rPr>
            </w:pPr>
            <w:r w:rsidRPr="00A34138">
              <w:rPr>
                <w:rFonts w:asciiTheme="minorHAnsi" w:hAnsiTheme="minorHAnsi" w:cstheme="minorHAnsi"/>
              </w:rPr>
              <w:t>1990</w:t>
            </w:r>
          </w:p>
        </w:tc>
        <w:tc>
          <w:tcPr>
            <w:tcW w:w="1953" w:type="dxa"/>
          </w:tcPr>
          <w:p w14:paraId="440392AE"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£24,326,492</w:t>
            </w:r>
          </w:p>
        </w:tc>
        <w:tc>
          <w:tcPr>
            <w:tcW w:w="1559" w:type="dxa"/>
          </w:tcPr>
          <w:p w14:paraId="581EF241"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£0.348</w:t>
            </w:r>
          </w:p>
        </w:tc>
        <w:tc>
          <w:tcPr>
            <w:tcW w:w="2310" w:type="dxa"/>
          </w:tcPr>
          <w:p w14:paraId="364087AC"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£8,465,619</w:t>
            </w:r>
          </w:p>
        </w:tc>
        <w:tc>
          <w:tcPr>
            <w:tcW w:w="1437" w:type="dxa"/>
          </w:tcPr>
          <w:p w14:paraId="64A1A614" w14:textId="77777777" w:rsidR="00A34138" w:rsidRPr="00A34138" w:rsidRDefault="00A34138" w:rsidP="00CA6100">
            <w:pPr>
              <w:jc w:val="center"/>
              <w:rPr>
                <w:rFonts w:asciiTheme="minorHAnsi" w:hAnsiTheme="minorHAnsi" w:cstheme="minorHAnsi"/>
              </w:rPr>
            </w:pPr>
          </w:p>
        </w:tc>
      </w:tr>
      <w:tr w:rsidR="00A34138" w:rsidRPr="00A34138" w14:paraId="73E13013" w14:textId="77777777" w:rsidTr="00CA6100">
        <w:tc>
          <w:tcPr>
            <w:tcW w:w="1405" w:type="dxa"/>
          </w:tcPr>
          <w:p w14:paraId="7EEC63B1" w14:textId="77777777" w:rsidR="00A34138" w:rsidRPr="00A34138" w:rsidRDefault="00A34138" w:rsidP="00CA6100">
            <w:pPr>
              <w:rPr>
                <w:rFonts w:asciiTheme="minorHAnsi" w:hAnsiTheme="minorHAnsi" w:cstheme="minorHAnsi"/>
              </w:rPr>
            </w:pPr>
            <w:r w:rsidRPr="00A34138">
              <w:rPr>
                <w:rFonts w:asciiTheme="minorHAnsi" w:hAnsiTheme="minorHAnsi" w:cstheme="minorHAnsi"/>
              </w:rPr>
              <w:t>1995</w:t>
            </w:r>
          </w:p>
        </w:tc>
        <w:tc>
          <w:tcPr>
            <w:tcW w:w="1953" w:type="dxa"/>
          </w:tcPr>
          <w:p w14:paraId="4DB97E07"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£27,311,230</w:t>
            </w:r>
          </w:p>
        </w:tc>
        <w:tc>
          <w:tcPr>
            <w:tcW w:w="1559" w:type="dxa"/>
          </w:tcPr>
          <w:p w14:paraId="6024AEC7"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£0.432</w:t>
            </w:r>
          </w:p>
        </w:tc>
        <w:tc>
          <w:tcPr>
            <w:tcW w:w="2310" w:type="dxa"/>
          </w:tcPr>
          <w:p w14:paraId="7A51F922"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£11,798,451</w:t>
            </w:r>
          </w:p>
        </w:tc>
        <w:tc>
          <w:tcPr>
            <w:tcW w:w="1437" w:type="dxa"/>
          </w:tcPr>
          <w:p w14:paraId="35CF7C52"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39.4%</w:t>
            </w:r>
          </w:p>
        </w:tc>
      </w:tr>
      <w:tr w:rsidR="00A34138" w:rsidRPr="00A34138" w14:paraId="60A4FFE5" w14:textId="77777777" w:rsidTr="00CA6100">
        <w:tc>
          <w:tcPr>
            <w:tcW w:w="1405" w:type="dxa"/>
          </w:tcPr>
          <w:p w14:paraId="20FE4463" w14:textId="77777777" w:rsidR="00A34138" w:rsidRPr="00A34138" w:rsidRDefault="00A34138" w:rsidP="00CA6100">
            <w:pPr>
              <w:rPr>
                <w:rFonts w:asciiTheme="minorHAnsi" w:hAnsiTheme="minorHAnsi" w:cstheme="minorHAnsi"/>
              </w:rPr>
            </w:pPr>
            <w:r w:rsidRPr="00A34138">
              <w:rPr>
                <w:rFonts w:asciiTheme="minorHAnsi" w:hAnsiTheme="minorHAnsi" w:cstheme="minorHAnsi"/>
              </w:rPr>
              <w:t>2000</w:t>
            </w:r>
          </w:p>
        </w:tc>
        <w:tc>
          <w:tcPr>
            <w:tcW w:w="1953" w:type="dxa"/>
          </w:tcPr>
          <w:p w14:paraId="55924AA1"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£72,526,191</w:t>
            </w:r>
          </w:p>
        </w:tc>
        <w:tc>
          <w:tcPr>
            <w:tcW w:w="1559" w:type="dxa"/>
          </w:tcPr>
          <w:p w14:paraId="6845D2F6"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£0.416</w:t>
            </w:r>
          </w:p>
        </w:tc>
        <w:tc>
          <w:tcPr>
            <w:tcW w:w="2310" w:type="dxa"/>
          </w:tcPr>
          <w:p w14:paraId="59BB045A"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£30,170,895</w:t>
            </w:r>
          </w:p>
        </w:tc>
        <w:tc>
          <w:tcPr>
            <w:tcW w:w="1437" w:type="dxa"/>
          </w:tcPr>
          <w:p w14:paraId="76A2DA7E"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155.7%</w:t>
            </w:r>
          </w:p>
        </w:tc>
      </w:tr>
      <w:tr w:rsidR="00A34138" w:rsidRPr="00A34138" w14:paraId="32029F10" w14:textId="77777777" w:rsidTr="00CA6100">
        <w:tc>
          <w:tcPr>
            <w:tcW w:w="1405" w:type="dxa"/>
          </w:tcPr>
          <w:p w14:paraId="34F9D23A" w14:textId="77777777" w:rsidR="00A34138" w:rsidRPr="00A34138" w:rsidRDefault="00A34138" w:rsidP="00CA6100">
            <w:pPr>
              <w:rPr>
                <w:rFonts w:asciiTheme="minorHAnsi" w:hAnsiTheme="minorHAnsi" w:cstheme="minorHAnsi"/>
              </w:rPr>
            </w:pPr>
            <w:r w:rsidRPr="00A34138">
              <w:rPr>
                <w:rFonts w:asciiTheme="minorHAnsi" w:hAnsiTheme="minorHAnsi" w:cstheme="minorHAnsi"/>
              </w:rPr>
              <w:t>2005</w:t>
            </w:r>
          </w:p>
        </w:tc>
        <w:tc>
          <w:tcPr>
            <w:tcW w:w="1953" w:type="dxa"/>
          </w:tcPr>
          <w:p w14:paraId="6F02D355"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£100,995,171</w:t>
            </w:r>
          </w:p>
        </w:tc>
        <w:tc>
          <w:tcPr>
            <w:tcW w:w="1559" w:type="dxa"/>
          </w:tcPr>
          <w:p w14:paraId="5A726308"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£0.415</w:t>
            </w:r>
          </w:p>
        </w:tc>
        <w:tc>
          <w:tcPr>
            <w:tcW w:w="2310" w:type="dxa"/>
          </w:tcPr>
          <w:p w14:paraId="714E0D2F"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£41,912,996</w:t>
            </w:r>
          </w:p>
        </w:tc>
        <w:tc>
          <w:tcPr>
            <w:tcW w:w="1437" w:type="dxa"/>
          </w:tcPr>
          <w:p w14:paraId="5A5CB7C3"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38.9%</w:t>
            </w:r>
          </w:p>
        </w:tc>
      </w:tr>
      <w:tr w:rsidR="00A34138" w:rsidRPr="00A34138" w14:paraId="6F646212" w14:textId="77777777" w:rsidTr="00CA6100">
        <w:tc>
          <w:tcPr>
            <w:tcW w:w="1405" w:type="dxa"/>
          </w:tcPr>
          <w:p w14:paraId="299CFFE2" w14:textId="77777777" w:rsidR="00A34138" w:rsidRPr="00A34138" w:rsidRDefault="00A34138" w:rsidP="00CA6100">
            <w:pPr>
              <w:rPr>
                <w:rFonts w:asciiTheme="minorHAnsi" w:hAnsiTheme="minorHAnsi" w:cstheme="minorHAnsi"/>
              </w:rPr>
            </w:pPr>
            <w:r w:rsidRPr="00A34138">
              <w:rPr>
                <w:rFonts w:asciiTheme="minorHAnsi" w:hAnsiTheme="minorHAnsi" w:cstheme="minorHAnsi"/>
              </w:rPr>
              <w:t>2010</w:t>
            </w:r>
          </w:p>
        </w:tc>
        <w:tc>
          <w:tcPr>
            <w:tcW w:w="1953" w:type="dxa"/>
          </w:tcPr>
          <w:p w14:paraId="07113721"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£134,620,539</w:t>
            </w:r>
          </w:p>
        </w:tc>
        <w:tc>
          <w:tcPr>
            <w:tcW w:w="1559" w:type="dxa"/>
          </w:tcPr>
          <w:p w14:paraId="3A7C9F0B"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£0.407</w:t>
            </w:r>
          </w:p>
        </w:tc>
        <w:tc>
          <w:tcPr>
            <w:tcW w:w="2310" w:type="dxa"/>
          </w:tcPr>
          <w:p w14:paraId="59EE295C"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£54,790,559</w:t>
            </w:r>
          </w:p>
        </w:tc>
        <w:tc>
          <w:tcPr>
            <w:tcW w:w="1437" w:type="dxa"/>
          </w:tcPr>
          <w:p w14:paraId="20B58963"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30.7%</w:t>
            </w:r>
          </w:p>
        </w:tc>
      </w:tr>
      <w:tr w:rsidR="00A34138" w:rsidRPr="00A34138" w14:paraId="41DEE3D8" w14:textId="77777777" w:rsidTr="00CA6100">
        <w:tc>
          <w:tcPr>
            <w:tcW w:w="1405" w:type="dxa"/>
          </w:tcPr>
          <w:p w14:paraId="791334D6" w14:textId="77777777" w:rsidR="00A34138" w:rsidRPr="00A34138" w:rsidRDefault="00A34138" w:rsidP="00CA6100">
            <w:pPr>
              <w:rPr>
                <w:rFonts w:asciiTheme="minorHAnsi" w:hAnsiTheme="minorHAnsi" w:cstheme="minorHAnsi"/>
              </w:rPr>
            </w:pPr>
            <w:r w:rsidRPr="00A34138">
              <w:rPr>
                <w:rFonts w:asciiTheme="minorHAnsi" w:hAnsiTheme="minorHAnsi" w:cstheme="minorHAnsi"/>
              </w:rPr>
              <w:t>2017</w:t>
            </w:r>
          </w:p>
        </w:tc>
        <w:tc>
          <w:tcPr>
            <w:tcW w:w="1953" w:type="dxa"/>
          </w:tcPr>
          <w:p w14:paraId="70DEEFF3"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£195,924,000</w:t>
            </w:r>
          </w:p>
        </w:tc>
        <w:tc>
          <w:tcPr>
            <w:tcW w:w="1559" w:type="dxa"/>
          </w:tcPr>
          <w:p w14:paraId="33A82102"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£0.466</w:t>
            </w:r>
          </w:p>
        </w:tc>
        <w:tc>
          <w:tcPr>
            <w:tcW w:w="2310" w:type="dxa"/>
          </w:tcPr>
          <w:p w14:paraId="54071A93" w14:textId="77777777" w:rsidR="00A34138" w:rsidRPr="00A34138" w:rsidRDefault="00A34138" w:rsidP="00CA6100">
            <w:pPr>
              <w:jc w:val="right"/>
              <w:rPr>
                <w:rFonts w:asciiTheme="minorHAnsi" w:hAnsiTheme="minorHAnsi" w:cstheme="minorHAnsi"/>
              </w:rPr>
            </w:pPr>
            <w:r w:rsidRPr="00A34138">
              <w:rPr>
                <w:rFonts w:asciiTheme="minorHAnsi" w:hAnsiTheme="minorHAnsi" w:cstheme="minorHAnsi"/>
              </w:rPr>
              <w:t>£91,300,584</w:t>
            </w:r>
          </w:p>
        </w:tc>
        <w:tc>
          <w:tcPr>
            <w:tcW w:w="1437" w:type="dxa"/>
          </w:tcPr>
          <w:p w14:paraId="2F9352DE" w14:textId="77777777" w:rsidR="00A34138" w:rsidRPr="00A34138" w:rsidRDefault="00A34138" w:rsidP="00CA6100">
            <w:pPr>
              <w:jc w:val="center"/>
              <w:rPr>
                <w:rFonts w:asciiTheme="minorHAnsi" w:hAnsiTheme="minorHAnsi" w:cstheme="minorHAnsi"/>
              </w:rPr>
            </w:pPr>
            <w:r w:rsidRPr="00A34138">
              <w:rPr>
                <w:rFonts w:asciiTheme="minorHAnsi" w:hAnsiTheme="minorHAnsi" w:cstheme="minorHAnsi"/>
              </w:rPr>
              <w:t>66.6%</w:t>
            </w:r>
          </w:p>
        </w:tc>
      </w:tr>
    </w:tbl>
    <w:p w14:paraId="1ED79D1A" w14:textId="77777777" w:rsidR="00A34138" w:rsidRPr="00A34138" w:rsidRDefault="00A34138" w:rsidP="00A34138">
      <w:pPr>
        <w:rPr>
          <w:rFonts w:asciiTheme="minorHAnsi" w:hAnsiTheme="minorHAnsi" w:cstheme="minorHAnsi"/>
        </w:rPr>
      </w:pPr>
    </w:p>
    <w:p w14:paraId="50B2BACC" w14:textId="77777777" w:rsidR="00A34138" w:rsidRPr="00A34138" w:rsidRDefault="00A34138" w:rsidP="00A34138">
      <w:pPr>
        <w:ind w:left="709" w:hanging="283"/>
        <w:rPr>
          <w:rFonts w:asciiTheme="minorHAnsi" w:hAnsiTheme="minorHAnsi" w:cstheme="minorHAnsi"/>
        </w:rPr>
      </w:pPr>
      <w:r w:rsidRPr="00A34138">
        <w:rPr>
          <w:rFonts w:asciiTheme="minorHAnsi" w:hAnsiTheme="minorHAnsi" w:cstheme="minorHAnsi"/>
        </w:rPr>
        <w:lastRenderedPageBreak/>
        <w:tab/>
        <w:t xml:space="preserve">Whilst the above table is a simplistic analysis of the changes it is nevertheless a clear indication of how the burden of business rates has increased for the museum sector with a total increase in underlying liability of more than a 9 fold increase. In part this can be put down to excessive levels of Rateable Value. </w:t>
      </w:r>
      <w:proofErr w:type="gramStart"/>
      <w:r w:rsidRPr="00A34138">
        <w:rPr>
          <w:rFonts w:asciiTheme="minorHAnsi" w:hAnsiTheme="minorHAnsi" w:cstheme="minorHAnsi"/>
        </w:rPr>
        <w:t>In reality the</w:t>
      </w:r>
      <w:proofErr w:type="gramEnd"/>
      <w:r w:rsidRPr="00A34138">
        <w:rPr>
          <w:rFonts w:asciiTheme="minorHAnsi" w:hAnsiTheme="minorHAnsi" w:cstheme="minorHAnsi"/>
        </w:rPr>
        <w:t xml:space="preserve"> problem for the sector is greater than this due to the continual erosion of discretionary reliefs being given to museums and other charities since 2013. </w:t>
      </w:r>
    </w:p>
    <w:p w14:paraId="73B50178" w14:textId="77777777" w:rsidR="00A34138" w:rsidRPr="00A34138" w:rsidRDefault="00A34138" w:rsidP="00A34138">
      <w:pPr>
        <w:ind w:left="709"/>
        <w:rPr>
          <w:rFonts w:asciiTheme="minorHAnsi" w:hAnsiTheme="minorHAnsi" w:cstheme="minorHAnsi"/>
        </w:rPr>
      </w:pPr>
      <w:r w:rsidRPr="00A34138">
        <w:rPr>
          <w:rFonts w:asciiTheme="minorHAnsi" w:hAnsiTheme="minorHAnsi" w:cstheme="minorHAnsi"/>
        </w:rPr>
        <w:t xml:space="preserve">Despite the resetting of the rates multiplier at the beginning of each revaluation cycle the increase in liability outstripped inflation. The problem therefore is the failure of the multiplier to be reset to a level commensurate with the change in value. </w:t>
      </w:r>
    </w:p>
    <w:p w14:paraId="02063EE0" w14:textId="77777777" w:rsidR="00A34138" w:rsidRPr="00A34138" w:rsidRDefault="00A34138" w:rsidP="00A34138">
      <w:pPr>
        <w:ind w:left="709"/>
        <w:rPr>
          <w:rFonts w:asciiTheme="minorHAnsi" w:hAnsiTheme="minorHAnsi" w:cstheme="minorHAnsi"/>
        </w:rPr>
      </w:pPr>
      <w:r w:rsidRPr="00A34138">
        <w:rPr>
          <w:rFonts w:asciiTheme="minorHAnsi" w:hAnsiTheme="minorHAnsi" w:cstheme="minorHAnsi"/>
        </w:rPr>
        <w:t>The annual increase in line with CPI would not be of as great a concern if the multiplier was rebased at the start of each cycle in line with the change in real terms of the rateable values. The longer the revaluation cycle the more unrealistic the annual adjustment becomes. Whilst it is accepted that the tax is a source of funding for the local authorities to pay for essential services, the payment of rates has not been determined on the needs of the local authorities but instead on the dictate of the Treasury with the local authorities being indirect beneficiaries based on formulae which are not relevant to the ratepayers and have no regard to the ability of the taxpayers to fund these increases.</w:t>
      </w:r>
    </w:p>
    <w:p w14:paraId="44A6C89A"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As noted above the general principle of an annual increase based on CPI, possibly collared and capped at 1% and 2%, should be </w:t>
      </w:r>
      <w:proofErr w:type="gramStart"/>
      <w:r w:rsidRPr="00A34138">
        <w:rPr>
          <w:rFonts w:asciiTheme="minorHAnsi" w:hAnsiTheme="minorHAnsi" w:cstheme="minorHAnsi"/>
        </w:rPr>
        <w:t>sufficient</w:t>
      </w:r>
      <w:proofErr w:type="gramEnd"/>
      <w:r w:rsidRPr="00A34138">
        <w:rPr>
          <w:rFonts w:asciiTheme="minorHAnsi" w:hAnsiTheme="minorHAnsi" w:cstheme="minorHAnsi"/>
        </w:rPr>
        <w:t xml:space="preserve"> to fund local services. However on revaluation the multiplier should be rebased to no more than 35% of the Rateable Value therefore keeping the tax in line with values, in the same way as other taxes are in line with income and do not have an annual uplift in the tax rate to match inflation. In that way the tax should remain affordable for the taxpayers and can be planned for on a </w:t>
      </w:r>
      <w:proofErr w:type="gramStart"/>
      <w:r w:rsidRPr="00A34138">
        <w:rPr>
          <w:rFonts w:asciiTheme="minorHAnsi" w:hAnsiTheme="minorHAnsi" w:cstheme="minorHAnsi"/>
        </w:rPr>
        <w:t>long term</w:t>
      </w:r>
      <w:proofErr w:type="gramEnd"/>
      <w:r w:rsidRPr="00A34138">
        <w:rPr>
          <w:rFonts w:asciiTheme="minorHAnsi" w:hAnsiTheme="minorHAnsi" w:cstheme="minorHAnsi"/>
        </w:rPr>
        <w:t xml:space="preserve"> basis when agreeing rents. </w:t>
      </w:r>
    </w:p>
    <w:p w14:paraId="4D6AA2C0" w14:textId="77777777" w:rsidR="00A34138" w:rsidRPr="00A34138" w:rsidRDefault="00A34138" w:rsidP="00A34138">
      <w:pPr>
        <w:pStyle w:val="ListParagraph"/>
        <w:rPr>
          <w:rFonts w:asciiTheme="minorHAnsi" w:hAnsiTheme="minorHAnsi" w:cstheme="minorHAnsi"/>
        </w:rPr>
      </w:pPr>
    </w:p>
    <w:p w14:paraId="0EF27253"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Any supplements, such as BID levies, should be discrete and ring fenced to finance specific undertakings, with the affected ratepayers having the right to vote on </w:t>
      </w:r>
      <w:proofErr w:type="gramStart"/>
      <w:r w:rsidRPr="00A34138">
        <w:rPr>
          <w:rFonts w:asciiTheme="minorHAnsi" w:hAnsiTheme="minorHAnsi" w:cstheme="minorHAnsi"/>
        </w:rPr>
        <w:t>whether or not</w:t>
      </w:r>
      <w:proofErr w:type="gramEnd"/>
      <w:r w:rsidRPr="00A34138">
        <w:rPr>
          <w:rFonts w:asciiTheme="minorHAnsi" w:hAnsiTheme="minorHAnsi" w:cstheme="minorHAnsi"/>
        </w:rPr>
        <w:t xml:space="preserve"> they are willing to pay the supplement. </w:t>
      </w:r>
    </w:p>
    <w:p w14:paraId="06189413" w14:textId="77777777" w:rsidR="00A34138" w:rsidRPr="00A34138" w:rsidRDefault="00A34138" w:rsidP="00A34138">
      <w:pPr>
        <w:pStyle w:val="ListParagraph"/>
        <w:rPr>
          <w:rFonts w:asciiTheme="minorHAnsi" w:hAnsiTheme="minorHAnsi" w:cstheme="minorHAnsi"/>
        </w:rPr>
      </w:pPr>
    </w:p>
    <w:p w14:paraId="77F56009" w14:textId="77777777" w:rsidR="00A34138" w:rsidRPr="00A34138" w:rsidRDefault="00A34138" w:rsidP="00A34138">
      <w:pPr>
        <w:pStyle w:val="ListParagraph"/>
        <w:numPr>
          <w:ilvl w:val="0"/>
          <w:numId w:val="1"/>
        </w:numPr>
        <w:rPr>
          <w:rFonts w:asciiTheme="minorHAnsi" w:hAnsiTheme="minorHAnsi" w:cstheme="minorHAnsi"/>
        </w:rPr>
      </w:pPr>
      <w:r w:rsidRPr="00A34138">
        <w:rPr>
          <w:rFonts w:asciiTheme="minorHAnsi" w:hAnsiTheme="minorHAnsi" w:cstheme="minorHAnsi"/>
        </w:rPr>
        <w:t xml:space="preserve">If the business rates were paid directly to, and retained in their entirety by, the billing authority then there would be a case for local multipliers to be re-introduced in line with the position prior to 1990 when the central government abolished General Rates in favour of Community Charge (since replaced by Council Tax) and National Non Domestic Rates. If that link is not </w:t>
      </w:r>
      <w:proofErr w:type="gramStart"/>
      <w:r w:rsidRPr="00A34138">
        <w:rPr>
          <w:rFonts w:asciiTheme="minorHAnsi" w:hAnsiTheme="minorHAnsi" w:cstheme="minorHAnsi"/>
        </w:rPr>
        <w:t>re-established</w:t>
      </w:r>
      <w:proofErr w:type="gramEnd"/>
      <w:r w:rsidRPr="00A34138">
        <w:rPr>
          <w:rFonts w:asciiTheme="minorHAnsi" w:hAnsiTheme="minorHAnsi" w:cstheme="minorHAnsi"/>
        </w:rPr>
        <w:t xml:space="preserve"> then there is no case to be argued for variable rates across the country. If the system reverts to being a local tax, based on the experience of the 1990 Revaluation, this will lead to very significant shifts in liability between regions and individual authorities and therefore significant shifts in liability on a property by property basis. The dramatic shifts for the 1989/90 liabilities to 1990/91 liabilities gave rise to the need for transitional relief provisions, in some locations, such as York, the rates liability was still in transition at the end of the 1990 list and carried over into the liabilities for  the 1995 list. This breaks the link between the Rateable Value and the liability and creates confusion and inequity.</w:t>
      </w:r>
    </w:p>
    <w:p w14:paraId="1B722FE2" w14:textId="77777777" w:rsidR="00A34138" w:rsidRPr="00A34138" w:rsidRDefault="00A34138" w:rsidP="00A34138">
      <w:pPr>
        <w:pStyle w:val="ListParagraph"/>
        <w:rPr>
          <w:rFonts w:asciiTheme="minorHAnsi" w:hAnsiTheme="minorHAnsi" w:cstheme="minorHAnsi"/>
        </w:rPr>
      </w:pPr>
    </w:p>
    <w:p w14:paraId="06A3B943" w14:textId="77777777" w:rsidR="00A34138" w:rsidRPr="00A34138" w:rsidRDefault="00A34138" w:rsidP="00A34138">
      <w:pPr>
        <w:pStyle w:val="ListParagraph"/>
        <w:rPr>
          <w:rFonts w:asciiTheme="minorHAnsi" w:hAnsiTheme="minorHAnsi" w:cstheme="minorHAnsi"/>
        </w:rPr>
      </w:pPr>
      <w:r w:rsidRPr="00A34138">
        <w:rPr>
          <w:rFonts w:asciiTheme="minorHAnsi" w:hAnsiTheme="minorHAnsi" w:cstheme="minorHAnsi"/>
        </w:rPr>
        <w:t xml:space="preserve">The creation of additional multipliers based on property type is likely to create confusion and lack of certainty as the description in the Rating List will take on a greater role. Museums are not all described as such in the Rating List, some are still described by reference to a use that the building had historically, or are described as visitor attractions, tourist attractions, historic properties, historic sites and numerous other descriptions. It is difficult to see how the local authority can effectively identify the properties to which the additional multiplier based on property type should be applied. </w:t>
      </w:r>
    </w:p>
    <w:p w14:paraId="5206EFBE" w14:textId="77777777" w:rsidR="00A34138" w:rsidRPr="00A34138" w:rsidRDefault="00A34138" w:rsidP="00A34138">
      <w:pPr>
        <w:rPr>
          <w:rFonts w:asciiTheme="minorHAnsi" w:hAnsiTheme="minorHAnsi" w:cstheme="minorHAnsi"/>
        </w:rPr>
      </w:pPr>
    </w:p>
    <w:p w14:paraId="6F2832E6" w14:textId="77777777" w:rsidR="00A34138" w:rsidRPr="00A34138" w:rsidRDefault="00A34138" w:rsidP="00A34138">
      <w:pPr>
        <w:rPr>
          <w:rFonts w:asciiTheme="minorHAnsi" w:hAnsiTheme="minorHAnsi" w:cstheme="minorHAnsi"/>
        </w:rPr>
      </w:pPr>
    </w:p>
    <w:p w14:paraId="74358A74" w14:textId="77777777" w:rsidR="00A34138" w:rsidRPr="00A34138" w:rsidRDefault="00A34138" w:rsidP="00A34138">
      <w:pPr>
        <w:pStyle w:val="ListParagraph"/>
        <w:rPr>
          <w:rFonts w:asciiTheme="minorHAnsi" w:hAnsiTheme="minorHAnsi" w:cstheme="minorHAnsi"/>
        </w:rPr>
      </w:pPr>
      <w:r w:rsidRPr="00A34138">
        <w:rPr>
          <w:rFonts w:asciiTheme="minorHAnsi" w:hAnsiTheme="minorHAnsi" w:cstheme="minorHAnsi"/>
        </w:rPr>
        <w:t xml:space="preserve"> </w:t>
      </w:r>
    </w:p>
    <w:p w14:paraId="12C708AD" w14:textId="77777777" w:rsidR="006E0A3B" w:rsidRPr="00A34138" w:rsidRDefault="006E0A3B">
      <w:pPr>
        <w:rPr>
          <w:rFonts w:asciiTheme="minorHAnsi" w:hAnsiTheme="minorHAnsi" w:cstheme="minorHAnsi"/>
        </w:rPr>
      </w:pPr>
    </w:p>
    <w:sectPr w:rsidR="006E0A3B" w:rsidRPr="00A3413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15F89" w14:textId="77777777" w:rsidR="000B445C" w:rsidRDefault="000B445C" w:rsidP="00A34138">
      <w:pPr>
        <w:spacing w:after="0" w:line="240" w:lineRule="auto"/>
      </w:pPr>
      <w:r>
        <w:separator/>
      </w:r>
    </w:p>
  </w:endnote>
  <w:endnote w:type="continuationSeparator" w:id="0">
    <w:p w14:paraId="0BEA3F32" w14:textId="77777777" w:rsidR="000B445C" w:rsidRDefault="000B445C" w:rsidP="00A3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7AE5B" w14:textId="77777777" w:rsidR="000B445C" w:rsidRDefault="000B445C" w:rsidP="00A34138">
      <w:pPr>
        <w:spacing w:after="0" w:line="240" w:lineRule="auto"/>
      </w:pPr>
      <w:r>
        <w:separator/>
      </w:r>
    </w:p>
  </w:footnote>
  <w:footnote w:type="continuationSeparator" w:id="0">
    <w:p w14:paraId="0E6B642C" w14:textId="77777777" w:rsidR="000B445C" w:rsidRDefault="000B445C" w:rsidP="00A3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D3988" w14:textId="503F3189" w:rsidR="00A34138" w:rsidRDefault="00597731" w:rsidP="00597731">
    <w:pPr>
      <w:pStyle w:val="Header"/>
      <w:ind w:firstLine="5529"/>
    </w:pPr>
    <w:r w:rsidRPr="004D0B63">
      <w:rPr>
        <w:b/>
        <w:bCs/>
        <w:noProof/>
      </w:rPr>
      <w:drawing>
        <wp:inline distT="0" distB="0" distL="0" distR="0" wp14:anchorId="19D6F58D" wp14:editId="24FCEA05">
          <wp:extent cx="2364740" cy="39822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2633" cy="424818"/>
                  </a:xfrm>
                  <a:prstGeom prst="rect">
                    <a:avLst/>
                  </a:prstGeom>
                  <a:noFill/>
                  <a:ln>
                    <a:noFill/>
                  </a:ln>
                </pic:spPr>
              </pic:pic>
            </a:graphicData>
          </a:graphic>
        </wp:inline>
      </w:drawing>
    </w:r>
  </w:p>
  <w:p w14:paraId="235C2492" w14:textId="77777777" w:rsidR="00597731" w:rsidRDefault="00597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E25890"/>
    <w:multiLevelType w:val="hybridMultilevel"/>
    <w:tmpl w:val="BC5819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445566B"/>
    <w:multiLevelType w:val="hybridMultilevel"/>
    <w:tmpl w:val="1B12E13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138"/>
    <w:rsid w:val="000B445C"/>
    <w:rsid w:val="00597731"/>
    <w:rsid w:val="006E0A3B"/>
    <w:rsid w:val="00A34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5FEDC"/>
  <w15:chartTrackingRefBased/>
  <w15:docId w15:val="{3FF2DCC8-A385-482B-9A03-B1C5B0E1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138"/>
    <w:pPr>
      <w:spacing w:after="200" w:line="276"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138"/>
    <w:pPr>
      <w:ind w:left="720"/>
      <w:contextualSpacing/>
    </w:pPr>
  </w:style>
  <w:style w:type="table" w:styleId="TableGrid">
    <w:name w:val="Table Grid"/>
    <w:basedOn w:val="TableNormal"/>
    <w:uiPriority w:val="59"/>
    <w:rsid w:val="00A34138"/>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4138"/>
    <w:rPr>
      <w:sz w:val="16"/>
      <w:szCs w:val="16"/>
    </w:rPr>
  </w:style>
  <w:style w:type="paragraph" w:styleId="CommentText">
    <w:name w:val="annotation text"/>
    <w:basedOn w:val="Normal"/>
    <w:link w:val="CommentTextChar"/>
    <w:uiPriority w:val="99"/>
    <w:semiHidden/>
    <w:unhideWhenUsed/>
    <w:rsid w:val="00A34138"/>
    <w:pPr>
      <w:spacing w:line="240" w:lineRule="auto"/>
    </w:pPr>
    <w:rPr>
      <w:sz w:val="20"/>
      <w:szCs w:val="20"/>
    </w:rPr>
  </w:style>
  <w:style w:type="character" w:customStyle="1" w:styleId="CommentTextChar">
    <w:name w:val="Comment Text Char"/>
    <w:basedOn w:val="DefaultParagraphFont"/>
    <w:link w:val="CommentText"/>
    <w:uiPriority w:val="99"/>
    <w:semiHidden/>
    <w:rsid w:val="00A34138"/>
    <w:rPr>
      <w:rFonts w:ascii="Arial" w:hAnsi="Arial" w:cs="Arial"/>
      <w:sz w:val="20"/>
      <w:szCs w:val="20"/>
    </w:rPr>
  </w:style>
  <w:style w:type="paragraph" w:styleId="BalloonText">
    <w:name w:val="Balloon Text"/>
    <w:basedOn w:val="Normal"/>
    <w:link w:val="BalloonTextChar"/>
    <w:uiPriority w:val="99"/>
    <w:semiHidden/>
    <w:unhideWhenUsed/>
    <w:rsid w:val="00A341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38"/>
    <w:rPr>
      <w:rFonts w:ascii="Segoe UI" w:hAnsi="Segoe UI" w:cs="Segoe UI"/>
      <w:sz w:val="18"/>
      <w:szCs w:val="18"/>
    </w:rPr>
  </w:style>
  <w:style w:type="character" w:styleId="Hyperlink">
    <w:name w:val="Hyperlink"/>
    <w:rsid w:val="00A34138"/>
    <w:rPr>
      <w:rFonts w:ascii="Century Gothic" w:hAnsi="Century Gothic"/>
      <w:color w:val="0000FF"/>
      <w:sz w:val="20"/>
      <w:u w:val="single"/>
    </w:rPr>
  </w:style>
  <w:style w:type="paragraph" w:styleId="Header">
    <w:name w:val="header"/>
    <w:basedOn w:val="Normal"/>
    <w:link w:val="HeaderChar"/>
    <w:uiPriority w:val="99"/>
    <w:unhideWhenUsed/>
    <w:rsid w:val="00A341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138"/>
    <w:rPr>
      <w:rFonts w:ascii="Arial" w:hAnsi="Arial" w:cs="Arial"/>
    </w:rPr>
  </w:style>
  <w:style w:type="paragraph" w:styleId="Footer">
    <w:name w:val="footer"/>
    <w:basedOn w:val="Normal"/>
    <w:link w:val="FooterChar"/>
    <w:uiPriority w:val="99"/>
    <w:unhideWhenUsed/>
    <w:rsid w:val="00A341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13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seumsassociation.org/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3423</Words>
  <Characters>19515</Characters>
  <Application>Microsoft Office Word</Application>
  <DocSecurity>0</DocSecurity>
  <Lines>162</Lines>
  <Paragraphs>45</Paragraphs>
  <ScaleCrop>false</ScaleCrop>
  <Company/>
  <LinksUpToDate>false</LinksUpToDate>
  <CharactersWithSpaces>22893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Brown</dc:creator>
  <cp:keywords/>
  <dc:description/>
  <cp:lastModifiedBy>Geraldine Kendall</cp:lastModifiedBy>
  <cp:revision>2</cp:revision>
  <dcterms:created xsi:type="dcterms:W3CDTF">2020-09-21T10:42:00Z</dcterms:created>
  <dcterms:modified xsi:type="dcterms:W3CDTF">2020-09-21T10:42:00Z</dcterms:modified>
</cp:coreProperties>
</file>