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42D19" w14:textId="77777777" w:rsidR="002E2281" w:rsidRDefault="002E2281" w:rsidP="002E2281">
      <w:pPr>
        <w:jc w:val="center"/>
        <w:rPr>
          <w:b/>
          <w:bCs/>
          <w:sz w:val="28"/>
          <w:szCs w:val="28"/>
        </w:rPr>
      </w:pPr>
    </w:p>
    <w:p w14:paraId="4D1B567F" w14:textId="3987E40A" w:rsidR="002E2281" w:rsidRDefault="002E2281" w:rsidP="002E2281">
      <w:pPr>
        <w:jc w:val="center"/>
        <w:rPr>
          <w:b/>
          <w:bCs/>
          <w:sz w:val="28"/>
          <w:szCs w:val="28"/>
        </w:rPr>
      </w:pPr>
      <w:r>
        <w:rPr>
          <w:b/>
          <w:bCs/>
          <w:sz w:val="28"/>
          <w:szCs w:val="28"/>
        </w:rPr>
        <w:t>Esmée Fairbairn Collections Fund</w:t>
      </w:r>
    </w:p>
    <w:p w14:paraId="53A4ED6E" w14:textId="1DD38B91" w:rsidR="002E2281" w:rsidRPr="002E2281" w:rsidRDefault="002E2281" w:rsidP="002E2281">
      <w:pPr>
        <w:jc w:val="center"/>
        <w:rPr>
          <w:b/>
          <w:bCs/>
          <w:sz w:val="28"/>
          <w:szCs w:val="28"/>
        </w:rPr>
      </w:pPr>
      <w:r>
        <w:rPr>
          <w:b/>
          <w:bCs/>
          <w:sz w:val="28"/>
          <w:szCs w:val="28"/>
        </w:rPr>
        <w:t>Sustaining Engagement with Collections: Digest of Learning</w:t>
      </w:r>
    </w:p>
    <w:p w14:paraId="2028A48E" w14:textId="77777777" w:rsidR="002E2281" w:rsidRDefault="002E2281" w:rsidP="00A775EA">
      <w:pPr>
        <w:rPr>
          <w:b/>
          <w:bCs/>
        </w:rPr>
      </w:pPr>
    </w:p>
    <w:p w14:paraId="7F683062" w14:textId="3D4877CC" w:rsidR="00AB0D36" w:rsidRPr="002E2281" w:rsidRDefault="00AB0D36" w:rsidP="00A775EA">
      <w:pPr>
        <w:rPr>
          <w:b/>
          <w:bCs/>
          <w:sz w:val="28"/>
          <w:szCs w:val="28"/>
        </w:rPr>
      </w:pPr>
      <w:r w:rsidRPr="002E2281">
        <w:rPr>
          <w:b/>
          <w:bCs/>
          <w:sz w:val="28"/>
          <w:szCs w:val="28"/>
        </w:rPr>
        <w:t>Overview</w:t>
      </w:r>
    </w:p>
    <w:p w14:paraId="1F8552CA" w14:textId="3A302A79" w:rsidR="00AB0D36" w:rsidRDefault="000043E0" w:rsidP="00A775EA">
      <w:r w:rsidRPr="000043E0">
        <w:t>The Esmée Fairbairn Collections Fund</w:t>
      </w:r>
      <w:r w:rsidR="0075366C">
        <w:t xml:space="preserve"> is administered by the Museums Association and distributes over £1m a year to projects that bring collections and communities together. In </w:t>
      </w:r>
      <w:r w:rsidR="0075366C" w:rsidRPr="000043E0">
        <w:t xml:space="preserve">response to </w:t>
      </w:r>
      <w:r w:rsidR="0075366C">
        <w:t xml:space="preserve">the </w:t>
      </w:r>
      <w:r w:rsidR="0075366C" w:rsidRPr="000043E0">
        <w:t>changing needs in museums due to the Covid-19 pandemic</w:t>
      </w:r>
      <w:r w:rsidR="0075366C">
        <w:t xml:space="preserve"> a new</w:t>
      </w:r>
      <w:r w:rsidR="0075366C" w:rsidRPr="000043E0">
        <w:t xml:space="preserve"> </w:t>
      </w:r>
      <w:r w:rsidRPr="000043E0">
        <w:t xml:space="preserve">type of grant </w:t>
      </w:r>
      <w:r w:rsidR="0075366C">
        <w:t>was developed.</w:t>
      </w:r>
      <w:r w:rsidR="00024967">
        <w:t xml:space="preserve"> </w:t>
      </w:r>
      <w:r w:rsidRPr="000043E0">
        <w:t xml:space="preserve">These were Sustaining Engagement with Collections grants of up to £30k to be spent within a year of award. Imagined as quick turnaround, innovative interventions to support engagement with collections at a time when physical and traditional access </w:t>
      </w:r>
      <w:r w:rsidR="00AE6396">
        <w:t>i</w:t>
      </w:r>
      <w:r w:rsidRPr="000043E0">
        <w:t xml:space="preserve">sn’t possible, we made £350k available in grants to the sector. </w:t>
      </w:r>
    </w:p>
    <w:p w14:paraId="41883FD0" w14:textId="2DF5A6A4" w:rsidR="00B32889" w:rsidRPr="000043E0" w:rsidRDefault="00B32889" w:rsidP="00A775EA">
      <w:r>
        <w:t>Each application received was assessed against the fund’s selection criteria on its own merits. However, as a group the applications we received give a snapshot of the needs and interests of the museum sector at this most challenging moment in time. We would like to share what we have learned from that.</w:t>
      </w:r>
    </w:p>
    <w:p w14:paraId="36BCF8FD" w14:textId="1966F557" w:rsidR="00AB0D36" w:rsidRPr="002E2281" w:rsidRDefault="00292A7D" w:rsidP="00A775EA">
      <w:pPr>
        <w:rPr>
          <w:b/>
          <w:bCs/>
          <w:sz w:val="28"/>
          <w:szCs w:val="28"/>
        </w:rPr>
      </w:pPr>
      <w:r w:rsidRPr="002E2281">
        <w:rPr>
          <w:b/>
          <w:bCs/>
          <w:sz w:val="28"/>
          <w:szCs w:val="28"/>
        </w:rPr>
        <w:t>Applications and themes</w:t>
      </w:r>
    </w:p>
    <w:p w14:paraId="16270723" w14:textId="0A04809C" w:rsidR="00AB0D36" w:rsidRDefault="00B32889" w:rsidP="00A775EA">
      <w:r>
        <w:t>Interest in the fund exceeded our expectations</w:t>
      </w:r>
      <w:r w:rsidR="00AB0D36">
        <w:t xml:space="preserve"> </w:t>
      </w:r>
      <w:r w:rsidR="00A775EA">
        <w:t xml:space="preserve">and </w:t>
      </w:r>
      <w:r>
        <w:t xml:space="preserve">we </w:t>
      </w:r>
      <w:r w:rsidR="00A775EA">
        <w:t xml:space="preserve">received </w:t>
      </w:r>
      <w:r w:rsidR="00AB0D36">
        <w:t xml:space="preserve">182 enquiries resulting in </w:t>
      </w:r>
      <w:r w:rsidR="00A775EA">
        <w:t>145 application</w:t>
      </w:r>
      <w:r w:rsidR="00AB0D36">
        <w:t>s</w:t>
      </w:r>
      <w:r w:rsidR="000043E0">
        <w:t xml:space="preserve"> totalling </w:t>
      </w:r>
      <w:r w:rsidR="000043E0" w:rsidRPr="000043E0">
        <w:t>£3,588,344</w:t>
      </w:r>
      <w:r>
        <w:t>. This means the fund was 10 times</w:t>
      </w:r>
      <w:r w:rsidR="000043E0">
        <w:t xml:space="preserve"> oversubscribed. </w:t>
      </w:r>
    </w:p>
    <w:p w14:paraId="7897540D" w14:textId="242255DB" w:rsidR="00AB0D36" w:rsidRDefault="000043E0" w:rsidP="00A775EA">
      <w:pPr>
        <w:rPr>
          <w:color w:val="000000" w:themeColor="text1"/>
        </w:rPr>
      </w:pPr>
      <w:r w:rsidRPr="000043E0">
        <w:t>Applications from different types of museum roughly follow</w:t>
      </w:r>
      <w:r w:rsidR="0063188C">
        <w:t>ed</w:t>
      </w:r>
      <w:r w:rsidRPr="000043E0">
        <w:t xml:space="preserve"> the pattern seen in our normal grantmaking, with an </w:t>
      </w:r>
      <w:r w:rsidR="002E2281">
        <w:t>increase</w:t>
      </w:r>
      <w:r w:rsidRPr="000043E0">
        <w:t xml:space="preserve"> in applications from independent museums at 60%</w:t>
      </w:r>
      <w:r w:rsidR="002E2281">
        <w:t xml:space="preserve"> (usually around 50%) </w:t>
      </w:r>
      <w:r>
        <w:t>and a lower number from Local Authority Museums at 20%</w:t>
      </w:r>
      <w:r w:rsidR="002E2281">
        <w:rPr>
          <w:color w:val="FF0000"/>
        </w:rPr>
        <w:t xml:space="preserve"> </w:t>
      </w:r>
      <w:r w:rsidR="002E2281" w:rsidRPr="002E2281">
        <w:t xml:space="preserve">(usually around 30%). </w:t>
      </w:r>
      <w:r w:rsidRPr="000043E0">
        <w:rPr>
          <w:color w:val="000000" w:themeColor="text1"/>
        </w:rPr>
        <w:t xml:space="preserve">This </w:t>
      </w:r>
      <w:r w:rsidR="00B32889">
        <w:rPr>
          <w:color w:val="000000" w:themeColor="text1"/>
        </w:rPr>
        <w:t>is perhaps because</w:t>
      </w:r>
      <w:r w:rsidRPr="000043E0">
        <w:rPr>
          <w:color w:val="000000" w:themeColor="text1"/>
        </w:rPr>
        <w:t xml:space="preserve"> </w:t>
      </w:r>
      <w:r w:rsidR="00B32889">
        <w:rPr>
          <w:color w:val="000000" w:themeColor="text1"/>
        </w:rPr>
        <w:t>in</w:t>
      </w:r>
      <w:r w:rsidRPr="000043E0">
        <w:rPr>
          <w:color w:val="000000" w:themeColor="text1"/>
        </w:rPr>
        <w:t xml:space="preserve">dependent </w:t>
      </w:r>
      <w:r w:rsidR="00B32889">
        <w:rPr>
          <w:color w:val="000000" w:themeColor="text1"/>
        </w:rPr>
        <w:t>m</w:t>
      </w:r>
      <w:r w:rsidRPr="000043E0">
        <w:rPr>
          <w:color w:val="000000" w:themeColor="text1"/>
        </w:rPr>
        <w:t xml:space="preserve">useums </w:t>
      </w:r>
      <w:r>
        <w:rPr>
          <w:color w:val="000000" w:themeColor="text1"/>
        </w:rPr>
        <w:t>felt</w:t>
      </w:r>
      <w:r w:rsidRPr="000043E0">
        <w:rPr>
          <w:color w:val="000000" w:themeColor="text1"/>
        </w:rPr>
        <w:t xml:space="preserve"> the loss of income most immediately </w:t>
      </w:r>
      <w:r w:rsidR="00B32889">
        <w:rPr>
          <w:color w:val="000000" w:themeColor="text1"/>
        </w:rPr>
        <w:t>across</w:t>
      </w:r>
      <w:r w:rsidRPr="000043E0">
        <w:rPr>
          <w:color w:val="000000" w:themeColor="text1"/>
        </w:rPr>
        <w:t xml:space="preserve"> the museum population and </w:t>
      </w:r>
      <w:r w:rsidR="00B32889">
        <w:rPr>
          <w:color w:val="000000" w:themeColor="text1"/>
        </w:rPr>
        <w:t>because, anecdotally, we</w:t>
      </w:r>
      <w:r w:rsidRPr="000043E0">
        <w:rPr>
          <w:color w:val="000000" w:themeColor="text1"/>
        </w:rPr>
        <w:t xml:space="preserve"> found that fundraising staff in independent museums were among the last to be furloughed. </w:t>
      </w:r>
    </w:p>
    <w:p w14:paraId="1B553DEE" w14:textId="14F62962" w:rsidR="003B41A8" w:rsidRDefault="00AE6396" w:rsidP="00A775EA">
      <w:r>
        <w:rPr>
          <w:noProof/>
        </w:rPr>
        <w:drawing>
          <wp:inline distT="0" distB="0" distL="0" distR="0" wp14:anchorId="429E4E72" wp14:editId="2EA04577">
            <wp:extent cx="5577840" cy="2766060"/>
            <wp:effectExtent l="0" t="0" r="3810" b="15240"/>
            <wp:docPr id="1" name="Chart 1">
              <a:extLst xmlns:a="http://schemas.openxmlformats.org/drawingml/2006/main">
                <a:ext uri="{FF2B5EF4-FFF2-40B4-BE49-F238E27FC236}">
                  <a16:creationId xmlns:a16="http://schemas.microsoft.com/office/drawing/2014/main" id="{B1AA8B49-FE22-4443-87FB-350C9281CB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C0ED9A" w14:textId="5EEDF661" w:rsidR="00287555" w:rsidRDefault="00B32889" w:rsidP="00287555">
      <w:r>
        <w:lastRenderedPageBreak/>
        <w:t>Across the 145 applications, noticeable themes emerged and were used to categorise applications.</w:t>
      </w:r>
      <w:r w:rsidR="00287555">
        <w:t xml:space="preserve"> Not all projects fit</w:t>
      </w:r>
      <w:r w:rsidR="00C879EB">
        <w:t>ted</w:t>
      </w:r>
      <w:r w:rsidR="00287555">
        <w:t xml:space="preserve"> neatly into one of the categories, but they were allocated by the prominent element in the application:</w:t>
      </w:r>
    </w:p>
    <w:p w14:paraId="6789F6A3" w14:textId="2F3CA4E2" w:rsidR="009B43DB" w:rsidRDefault="009B43DB" w:rsidP="009B43DB">
      <w:pPr>
        <w:pStyle w:val="ListParagraph"/>
        <w:numPr>
          <w:ilvl w:val="0"/>
          <w:numId w:val="6"/>
        </w:numPr>
      </w:pPr>
      <w:r>
        <w:t>46% of applications were to develop audio-visual interpretations of collections online, ranging from virtual tours to podcast series.</w:t>
      </w:r>
    </w:p>
    <w:p w14:paraId="38582CB9" w14:textId="77777777" w:rsidR="009B43DB" w:rsidRDefault="009B43DB" w:rsidP="009B43DB">
      <w:pPr>
        <w:pStyle w:val="ListParagraph"/>
        <w:numPr>
          <w:ilvl w:val="0"/>
          <w:numId w:val="6"/>
        </w:numPr>
      </w:pPr>
      <w:r>
        <w:t>36% were to digitise collections and provide access with some sort of web portal.</w:t>
      </w:r>
    </w:p>
    <w:p w14:paraId="0841F6AE" w14:textId="020506CB" w:rsidR="00287555" w:rsidRDefault="009B43DB" w:rsidP="009B43DB">
      <w:pPr>
        <w:pStyle w:val="ListParagraph"/>
        <w:numPr>
          <w:ilvl w:val="0"/>
          <w:numId w:val="6"/>
        </w:numPr>
      </w:pPr>
      <w:r>
        <w:t>6% were to develop formal learning resources and create alternative access routes to formal learning opportunities.</w:t>
      </w:r>
    </w:p>
    <w:p w14:paraId="65A121B0" w14:textId="5C8CC339" w:rsidR="00287555" w:rsidRDefault="009B43DB" w:rsidP="009B43DB">
      <w:pPr>
        <w:pStyle w:val="ListParagraph"/>
        <w:numPr>
          <w:ilvl w:val="0"/>
          <w:numId w:val="6"/>
        </w:numPr>
      </w:pPr>
      <w:r>
        <w:t xml:space="preserve">6% were for non-digital projects, with some projects focusing on digital poverty. </w:t>
      </w:r>
    </w:p>
    <w:p w14:paraId="71964AC8" w14:textId="0E80AEEA" w:rsidR="00287555" w:rsidRDefault="009B43DB" w:rsidP="009B43DB">
      <w:pPr>
        <w:pStyle w:val="ListParagraph"/>
        <w:numPr>
          <w:ilvl w:val="0"/>
          <w:numId w:val="6"/>
        </w:numPr>
      </w:pPr>
      <w:r>
        <w:t>5% of applications sought to undertake c</w:t>
      </w:r>
      <w:r w:rsidR="009A389F">
        <w:t xml:space="preserve">ontemporary </w:t>
      </w:r>
      <w:r>
        <w:t>c</w:t>
      </w:r>
      <w:r w:rsidR="009A389F">
        <w:t>ollecting</w:t>
      </w:r>
      <w:r w:rsidR="00287555">
        <w:t>, typically to document the pandemic</w:t>
      </w:r>
      <w:r>
        <w:t>. Note that for this fund</w:t>
      </w:r>
      <w:r w:rsidR="00C879EB">
        <w:t>, funded</w:t>
      </w:r>
      <w:r>
        <w:t xml:space="preserve"> work must relate to an existing collection so the percentage would probably have been higher otherwise.</w:t>
      </w:r>
    </w:p>
    <w:p w14:paraId="329C8AE8" w14:textId="33B675A8" w:rsidR="00287555" w:rsidRDefault="009B43DB" w:rsidP="009B43DB">
      <w:pPr>
        <w:pStyle w:val="ListParagraph"/>
        <w:numPr>
          <w:ilvl w:val="0"/>
          <w:numId w:val="6"/>
        </w:numPr>
      </w:pPr>
      <w:r>
        <w:t>2% of applications were to create online games to facilitate engagement with collections.</w:t>
      </w:r>
    </w:p>
    <w:p w14:paraId="4EE0DF51" w14:textId="3AF40290" w:rsidR="001A022D" w:rsidRDefault="00C879EB" w:rsidP="00A775EA">
      <w:r>
        <w:t>This snapshot demonstrates</w:t>
      </w:r>
      <w:r w:rsidR="00287555">
        <w:t xml:space="preserve"> that many</w:t>
      </w:r>
      <w:r w:rsidR="00287555" w:rsidRPr="00287555">
        <w:t xml:space="preserve"> museums </w:t>
      </w:r>
      <w:r w:rsidR="00287555">
        <w:t>would like to work in a similar way. Some of this has been seen before. The Empowering Collections report recommended a strategic approach to online collections as a response to the research undertaken on Collections 2030</w:t>
      </w:r>
      <w:r>
        <w:t>, arguing that museums need to consider how to engage a variety of online audiences in ways that work for their ne</w:t>
      </w:r>
      <w:r w:rsidR="00037405">
        <w:t>e</w:t>
      </w:r>
      <w:r>
        <w:t>ds and expectations</w:t>
      </w:r>
      <w:r w:rsidR="00287555">
        <w:t xml:space="preserve">. </w:t>
      </w:r>
    </w:p>
    <w:p w14:paraId="05E75B7D" w14:textId="1F630347" w:rsidR="001A022D" w:rsidRDefault="001A022D" w:rsidP="00A775EA">
      <w:r>
        <w:t>“Museums need to create and curate online content in a way that speaks the language of the internet” – Empowering Collections 2019.</w:t>
      </w:r>
    </w:p>
    <w:p w14:paraId="51CD14BC" w14:textId="1CC01150" w:rsidR="00287555" w:rsidRDefault="00AE6396" w:rsidP="00A775EA">
      <w:r>
        <w:t>The fact</w:t>
      </w:r>
      <w:r w:rsidR="00C879EB">
        <w:t xml:space="preserve"> that so many museums (46% of our applicants) are trying to find ways into their collections for online audiences suggests there must </w:t>
      </w:r>
      <w:r w:rsidR="00287555">
        <w:t xml:space="preserve">be </w:t>
      </w:r>
      <w:r w:rsidR="00287555" w:rsidRPr="00287555">
        <w:t>some economy of effort and learning in doing that work together, or as part of a dedicated fund aiming to get spread across the whole sector</w:t>
      </w:r>
      <w:r w:rsidR="00C879EB">
        <w:t>.</w:t>
      </w:r>
    </w:p>
    <w:p w14:paraId="54307AF0" w14:textId="5E5E0DA3" w:rsidR="00C879EB" w:rsidRDefault="00C879EB" w:rsidP="00A775EA">
      <w:r>
        <w:t xml:space="preserve">The other notable, if not surprising, figure is that lots of museums (36% of our applicants) still need to digitise collections to enable </w:t>
      </w:r>
      <w:r w:rsidR="00292A7D">
        <w:t xml:space="preserve">collections </w:t>
      </w:r>
      <w:r>
        <w:t>use online</w:t>
      </w:r>
      <w:r w:rsidR="00292A7D">
        <w:t>. This first stage of gathering and sharing collections data is a significant hurdle and known development need for sector. This relates to another Empowering Collections recommendation to improve transparency and accessibility of museum collections online.</w:t>
      </w:r>
    </w:p>
    <w:p w14:paraId="2DA94DCF" w14:textId="5B6F3B66" w:rsidR="001A022D" w:rsidRPr="00037405" w:rsidRDefault="001A022D" w:rsidP="00A775EA">
      <w:pPr>
        <w:rPr>
          <w:b/>
          <w:bCs/>
          <w:sz w:val="28"/>
          <w:szCs w:val="28"/>
        </w:rPr>
      </w:pPr>
      <w:r w:rsidRPr="00037405">
        <w:rPr>
          <w:b/>
          <w:bCs/>
          <w:sz w:val="28"/>
          <w:szCs w:val="28"/>
        </w:rPr>
        <w:t xml:space="preserve">Reasons </w:t>
      </w:r>
      <w:r w:rsidR="00783F28">
        <w:rPr>
          <w:b/>
          <w:bCs/>
          <w:sz w:val="28"/>
          <w:szCs w:val="28"/>
        </w:rPr>
        <w:t>w</w:t>
      </w:r>
      <w:r w:rsidR="00292A7D" w:rsidRPr="00037405">
        <w:rPr>
          <w:b/>
          <w:bCs/>
          <w:sz w:val="28"/>
          <w:szCs w:val="28"/>
        </w:rPr>
        <w:t xml:space="preserve">hy </w:t>
      </w:r>
      <w:r w:rsidR="00783F28">
        <w:rPr>
          <w:b/>
          <w:bCs/>
          <w:sz w:val="28"/>
          <w:szCs w:val="28"/>
        </w:rPr>
        <w:t>a</w:t>
      </w:r>
      <w:r w:rsidRPr="00037405">
        <w:rPr>
          <w:b/>
          <w:bCs/>
          <w:sz w:val="28"/>
          <w:szCs w:val="28"/>
        </w:rPr>
        <w:t xml:space="preserve">pplications </w:t>
      </w:r>
      <w:r w:rsidR="00783F28">
        <w:rPr>
          <w:b/>
          <w:bCs/>
          <w:sz w:val="28"/>
          <w:szCs w:val="28"/>
        </w:rPr>
        <w:t>w</w:t>
      </w:r>
      <w:r w:rsidRPr="00037405">
        <w:rPr>
          <w:b/>
          <w:bCs/>
          <w:sz w:val="28"/>
          <w:szCs w:val="28"/>
        </w:rPr>
        <w:t xml:space="preserve">ere </w:t>
      </w:r>
      <w:r w:rsidR="00783F28">
        <w:rPr>
          <w:b/>
          <w:bCs/>
          <w:sz w:val="28"/>
          <w:szCs w:val="28"/>
        </w:rPr>
        <w:t>n</w:t>
      </w:r>
      <w:r w:rsidRPr="00037405">
        <w:rPr>
          <w:b/>
          <w:bCs/>
          <w:sz w:val="28"/>
          <w:szCs w:val="28"/>
        </w:rPr>
        <w:t xml:space="preserve">ot </w:t>
      </w:r>
      <w:r w:rsidR="00783F28">
        <w:rPr>
          <w:b/>
          <w:bCs/>
          <w:sz w:val="28"/>
          <w:szCs w:val="28"/>
        </w:rPr>
        <w:t>s</w:t>
      </w:r>
      <w:r w:rsidRPr="00037405">
        <w:rPr>
          <w:b/>
          <w:bCs/>
          <w:sz w:val="28"/>
          <w:szCs w:val="28"/>
        </w:rPr>
        <w:t>uccessful</w:t>
      </w:r>
    </w:p>
    <w:p w14:paraId="0110FEC5" w14:textId="24B7BE5B" w:rsidR="001A022D" w:rsidRDefault="001A022D" w:rsidP="00A775EA">
      <w:pPr>
        <w:rPr>
          <w:b/>
          <w:bCs/>
        </w:rPr>
      </w:pPr>
      <w:r w:rsidRPr="001A022D">
        <w:t xml:space="preserve">Around 20% of the applications received were of </w:t>
      </w:r>
      <w:r w:rsidR="00292A7D">
        <w:t>outstanding quality</w:t>
      </w:r>
      <w:r w:rsidRPr="001A022D">
        <w:t xml:space="preserve">. These represented the best ideas from the categories above in the </w:t>
      </w:r>
      <w:r w:rsidR="008316D7">
        <w:t>most timely, innovative</w:t>
      </w:r>
      <w:r w:rsidRPr="001A022D">
        <w:t xml:space="preserve"> or ambitious format</w:t>
      </w:r>
      <w:r w:rsidR="008316D7">
        <w:t xml:space="preserve"> for the context of the organisation</w:t>
      </w:r>
      <w:r w:rsidRPr="001A022D">
        <w:t xml:space="preserve">. </w:t>
      </w:r>
      <w:r w:rsidR="00292A7D">
        <w:t>Around 80% of the total number of applications scored well in assessment, showing the overall quality of work in the sector. Even with these strong figures, there were c</w:t>
      </w:r>
      <w:r w:rsidR="009A389F" w:rsidRPr="009A389F">
        <w:t xml:space="preserve">ommon </w:t>
      </w:r>
      <w:r w:rsidR="00292A7D">
        <w:t>flaw</w:t>
      </w:r>
      <w:r w:rsidR="009A389F" w:rsidRPr="009A389F">
        <w:t xml:space="preserve">s </w:t>
      </w:r>
      <w:r w:rsidR="00292A7D">
        <w:t xml:space="preserve">in applications and features that we would work on, even </w:t>
      </w:r>
      <w:r w:rsidR="00DE0C2C">
        <w:t>with projects that have been funded</w:t>
      </w:r>
      <w:r w:rsidR="009A389F" w:rsidRPr="009A389F">
        <w:t>.</w:t>
      </w:r>
      <w:r w:rsidR="009A389F">
        <w:rPr>
          <w:b/>
          <w:bCs/>
        </w:rPr>
        <w:t xml:space="preserve"> </w:t>
      </w:r>
    </w:p>
    <w:p w14:paraId="3C85F478" w14:textId="5595AE4F" w:rsidR="00F11F9D" w:rsidRDefault="009A389F" w:rsidP="00A775EA">
      <w:r w:rsidRPr="009A389F">
        <w:t xml:space="preserve">Many </w:t>
      </w:r>
      <w:r w:rsidR="00292A7D">
        <w:t xml:space="preserve">applicants </w:t>
      </w:r>
      <w:r w:rsidRPr="009A389F">
        <w:t>made a case</w:t>
      </w:r>
      <w:r>
        <w:rPr>
          <w:b/>
          <w:bCs/>
        </w:rPr>
        <w:t xml:space="preserve"> </w:t>
      </w:r>
      <w:r w:rsidR="00292A7D" w:rsidRPr="00292A7D">
        <w:t>for their work</w:t>
      </w:r>
      <w:r w:rsidR="00292A7D">
        <w:t xml:space="preserve"> </w:t>
      </w:r>
      <w:r w:rsidRPr="009A389F">
        <w:t>on the basis of the output they wanted to achieve rather than articulating</w:t>
      </w:r>
      <w:r>
        <w:t xml:space="preserve"> the</w:t>
      </w:r>
      <w:r w:rsidR="008316D7">
        <w:t>ir</w:t>
      </w:r>
      <w:r>
        <w:t xml:space="preserve"> thinking behind why </w:t>
      </w:r>
      <w:r w:rsidR="008316D7">
        <w:t xml:space="preserve">their work needed to happen. We look for a strong link between collections and audience needs, so we often fund projects where the output (or vehicle for delivery) will be determined as part of the project in order to achieve </w:t>
      </w:r>
      <w:r w:rsidR="00AE6396">
        <w:t>stated outcomes</w:t>
      </w:r>
      <w:r w:rsidR="008316D7">
        <w:t>. Put another way: a podcast (or book, or game) might be the right way to engage your audiences, but how do you know</w:t>
      </w:r>
      <w:r w:rsidR="00FE1A19">
        <w:t xml:space="preserve"> if you haven’t asked the target audiences what they need?</w:t>
      </w:r>
    </w:p>
    <w:p w14:paraId="1E93BEE2" w14:textId="5835F8F1" w:rsidR="001A022D" w:rsidRDefault="009A389F" w:rsidP="00A775EA">
      <w:r w:rsidRPr="009A389F">
        <w:lastRenderedPageBreak/>
        <w:t xml:space="preserve">Overall we saw that </w:t>
      </w:r>
      <w:r w:rsidR="008316D7">
        <w:t>lots of</w:t>
      </w:r>
      <w:r w:rsidRPr="009A389F">
        <w:t xml:space="preserve"> applications were limited in their scope in the sense that they didn’t address </w:t>
      </w:r>
      <w:r w:rsidR="008316D7">
        <w:t xml:space="preserve">key elements of their medium and long-term plans. For example, applicants often didn’t mention </w:t>
      </w:r>
      <w:r w:rsidRPr="009A389F">
        <w:t>income generation</w:t>
      </w:r>
      <w:r w:rsidR="008316D7">
        <w:t xml:space="preserve"> even though support for this was mentioned in the </w:t>
      </w:r>
      <w:r w:rsidR="00AE6396">
        <w:t xml:space="preserve">application </w:t>
      </w:r>
      <w:r w:rsidR="008316D7">
        <w:t>guidance materials</w:t>
      </w:r>
      <w:r>
        <w:t xml:space="preserve">. Many failed to address how the work they proposed </w:t>
      </w:r>
      <w:r w:rsidRPr="009A389F">
        <w:t>with audiences online w</w:t>
      </w:r>
      <w:r>
        <w:t xml:space="preserve">ould </w:t>
      </w:r>
      <w:r w:rsidRPr="009A389F">
        <w:t xml:space="preserve">relate to </w:t>
      </w:r>
      <w:r>
        <w:t xml:space="preserve">future </w:t>
      </w:r>
      <w:r w:rsidRPr="009A389F">
        <w:t>reopening</w:t>
      </w:r>
      <w:r>
        <w:t>.</w:t>
      </w:r>
      <w:r w:rsidR="00AE6396">
        <w:t xml:space="preserve"> </w:t>
      </w:r>
      <w:r>
        <w:t xml:space="preserve">This may be the result of the timing of the fund in the </w:t>
      </w:r>
      <w:r w:rsidR="008316D7">
        <w:t>earlier stages</w:t>
      </w:r>
      <w:r>
        <w:t xml:space="preserve"> of lockdown when conversations around reopening had yet to take place.</w:t>
      </w:r>
      <w:r w:rsidR="00AE6396">
        <w:t xml:space="preserve"> </w:t>
      </w:r>
      <w:r w:rsidR="008316D7">
        <w:t>So, i</w:t>
      </w:r>
      <w:r w:rsidRPr="009A389F">
        <w:t xml:space="preserve">t may be that in a few months </w:t>
      </w:r>
      <w:r w:rsidR="00F11F9D">
        <w:t>many</w:t>
      </w:r>
      <w:r w:rsidRPr="009A389F">
        <w:t xml:space="preserve"> museums </w:t>
      </w:r>
      <w:r>
        <w:t>will</w:t>
      </w:r>
      <w:r w:rsidRPr="009A389F">
        <w:t xml:space="preserve"> </w:t>
      </w:r>
      <w:r w:rsidR="008316D7">
        <w:t xml:space="preserve">be ready to </w:t>
      </w:r>
      <w:r w:rsidRPr="009A389F">
        <w:t xml:space="preserve">think about how their current rush to get material online can turn into more sustainable income generation and </w:t>
      </w:r>
      <w:r w:rsidR="00FE1A19">
        <w:t>form part of</w:t>
      </w:r>
      <w:r w:rsidR="00FE1A19" w:rsidRPr="009A389F">
        <w:t xml:space="preserve"> </w:t>
      </w:r>
      <w:r w:rsidRPr="009A389F">
        <w:t xml:space="preserve">long-term </w:t>
      </w:r>
      <w:r w:rsidR="00FE1A19">
        <w:t xml:space="preserve">strategic </w:t>
      </w:r>
      <w:r w:rsidRPr="009A389F">
        <w:t>plans.</w:t>
      </w:r>
      <w:r w:rsidR="00AE6396">
        <w:t xml:space="preserve"> </w:t>
      </w:r>
    </w:p>
    <w:p w14:paraId="25BB4DB3" w14:textId="2D98706F" w:rsidR="003B41A8" w:rsidRDefault="003B41A8" w:rsidP="00A775EA">
      <w:pPr>
        <w:rPr>
          <w:b/>
          <w:bCs/>
        </w:rPr>
      </w:pPr>
      <w:r w:rsidRPr="003B41A8">
        <w:t xml:space="preserve">Those who </w:t>
      </w:r>
      <w:r w:rsidR="00DE0C2C">
        <w:t xml:space="preserve">did not receive a </w:t>
      </w:r>
      <w:r w:rsidR="00037405">
        <w:t>Sustaining</w:t>
      </w:r>
      <w:r w:rsidR="00DE0C2C">
        <w:t xml:space="preserve"> Engagement with Collections grant </w:t>
      </w:r>
      <w:r w:rsidRPr="003B41A8">
        <w:t xml:space="preserve">should </w:t>
      </w:r>
      <w:r w:rsidR="00A22154">
        <w:t xml:space="preserve">reflect on the above themes </w:t>
      </w:r>
      <w:r w:rsidRPr="003B41A8">
        <w:t>and think carefully about where their application lay within these. Those considering applying to other funds</w:t>
      </w:r>
      <w:r>
        <w:t>,</w:t>
      </w:r>
      <w:r w:rsidRPr="003B41A8">
        <w:t xml:space="preserve"> such as the Art Fund Respond and Reimagine grants</w:t>
      </w:r>
      <w:r w:rsidR="00A22154">
        <w:t xml:space="preserve"> (UK wide) or </w:t>
      </w:r>
      <w:r w:rsidR="00DE0C2C">
        <w:t xml:space="preserve">the </w:t>
      </w:r>
      <w:r w:rsidR="00A22154">
        <w:t xml:space="preserve">reopened Arts Council England </w:t>
      </w:r>
      <w:r w:rsidR="00DE0C2C">
        <w:t>National Lottery P</w:t>
      </w:r>
      <w:r w:rsidR="00A22154">
        <w:t xml:space="preserve">roject </w:t>
      </w:r>
      <w:r w:rsidR="00DE0C2C">
        <w:t>G</w:t>
      </w:r>
      <w:r w:rsidR="00A22154">
        <w:t>rants</w:t>
      </w:r>
      <w:r>
        <w:t>,</w:t>
      </w:r>
      <w:r w:rsidRPr="003B41A8">
        <w:t xml:space="preserve"> should ensure that applications express adequately how their ideas fit into longer term thinking. This is likely to be easier to do now that we are further into the lockdown process and clearer guidance on </w:t>
      </w:r>
      <w:r>
        <w:t xml:space="preserve">museum </w:t>
      </w:r>
      <w:r w:rsidRPr="003B41A8">
        <w:t>reopening exists.</w:t>
      </w:r>
      <w:r>
        <w:rPr>
          <w:b/>
          <w:bCs/>
        </w:rPr>
        <w:t xml:space="preserve"> </w:t>
      </w:r>
    </w:p>
    <w:p w14:paraId="254C5491" w14:textId="566CD9C3" w:rsidR="0063188C" w:rsidRPr="00037405" w:rsidRDefault="0063188C" w:rsidP="00A775EA">
      <w:pPr>
        <w:rPr>
          <w:b/>
          <w:bCs/>
          <w:sz w:val="28"/>
          <w:szCs w:val="28"/>
        </w:rPr>
      </w:pPr>
      <w:r w:rsidRPr="00037405">
        <w:rPr>
          <w:b/>
          <w:bCs/>
          <w:sz w:val="28"/>
          <w:szCs w:val="28"/>
        </w:rPr>
        <w:t>What we’ve learned</w:t>
      </w:r>
    </w:p>
    <w:p w14:paraId="3CEF7D1F" w14:textId="57451B53" w:rsidR="003B41A8" w:rsidRPr="003B41A8" w:rsidRDefault="003B41A8" w:rsidP="00A775EA">
      <w:r w:rsidRPr="003B41A8">
        <w:t xml:space="preserve">The applications received </w:t>
      </w:r>
      <w:r w:rsidR="00DE0C2C">
        <w:t>express</w:t>
      </w:r>
      <w:r w:rsidRPr="003B41A8">
        <w:t xml:space="preserve"> needs within the sector that have been highlighted by the Covid-19 crisis. </w:t>
      </w:r>
    </w:p>
    <w:p w14:paraId="7B588F75" w14:textId="42023D18" w:rsidR="0063188C" w:rsidRPr="0063188C" w:rsidRDefault="00DE0C2C" w:rsidP="0063188C">
      <w:pPr>
        <w:rPr>
          <w:b/>
          <w:bCs/>
        </w:rPr>
      </w:pPr>
      <w:r>
        <w:t>M</w:t>
      </w:r>
      <w:r w:rsidR="00C70C66" w:rsidRPr="00C70C66">
        <w:t xml:space="preserve">any </w:t>
      </w:r>
      <w:r w:rsidR="0063188C" w:rsidRPr="00C70C66">
        <w:t>museums will struggle to replicate the personality, knowledge and warmth of volunteers and room guides</w:t>
      </w:r>
      <w:r w:rsidR="00C70C66" w:rsidRPr="00C70C66">
        <w:t xml:space="preserve"> with</w:t>
      </w:r>
      <w:r>
        <w:t xml:space="preserve"> the new measures in place for</w:t>
      </w:r>
      <w:r w:rsidR="00C70C66" w:rsidRPr="00C70C66">
        <w:t xml:space="preserve"> social distancing</w:t>
      </w:r>
      <w:r>
        <w:t xml:space="preserve">, shielding, </w:t>
      </w:r>
      <w:r w:rsidR="00C70C66" w:rsidRPr="00C70C66">
        <w:t xml:space="preserve">one-way routes </w:t>
      </w:r>
      <w:r w:rsidR="00C70C66">
        <w:t>and with the possibility of future periods of closure</w:t>
      </w:r>
      <w:r w:rsidR="00C70C66" w:rsidRPr="00C70C66">
        <w:t>.</w:t>
      </w:r>
      <w:r w:rsidR="0063188C" w:rsidRPr="0063188C">
        <w:rPr>
          <w:b/>
          <w:bCs/>
        </w:rPr>
        <w:t xml:space="preserve"> </w:t>
      </w:r>
      <w:r w:rsidR="0063188C" w:rsidRPr="00C70C66">
        <w:t xml:space="preserve">This will be a key challenge for many museums </w:t>
      </w:r>
      <w:r>
        <w:t xml:space="preserve">that </w:t>
      </w:r>
      <w:r w:rsidR="0063188C" w:rsidRPr="00C70C66">
        <w:t>currently hope a fully-functioning virtual tour can meaningfully engage audiences.</w:t>
      </w:r>
      <w:r w:rsidR="0063188C" w:rsidRPr="0063188C">
        <w:rPr>
          <w:b/>
          <w:bCs/>
        </w:rPr>
        <w:t xml:space="preserve"> </w:t>
      </w:r>
      <w:r w:rsidR="00C70C66" w:rsidRPr="00C70C66">
        <w:t>Sector organisation</w:t>
      </w:r>
      <w:r w:rsidR="0096129B">
        <w:t>s</w:t>
      </w:r>
      <w:r w:rsidR="00C70C66" w:rsidRPr="00C70C66">
        <w:t xml:space="preserve"> </w:t>
      </w:r>
      <w:r w:rsidR="0096129B">
        <w:t>should</w:t>
      </w:r>
      <w:r w:rsidR="00C70C66" w:rsidRPr="00C70C66">
        <w:t xml:space="preserve"> consider </w:t>
      </w:r>
      <w:r w:rsidR="00783F28">
        <w:t>the importance of</w:t>
      </w:r>
      <w:r w:rsidR="00C70C66" w:rsidRPr="00C70C66">
        <w:t xml:space="preserve"> the role of museums as community hubs</w:t>
      </w:r>
      <w:r>
        <w:t>, both for volunteers and visitors,</w:t>
      </w:r>
      <w:r w:rsidR="00C70C66" w:rsidRPr="00C70C66">
        <w:t xml:space="preserve"> and what reopening can mean with a loss of some of the personal</w:t>
      </w:r>
      <w:r>
        <w:t xml:space="preserve"> welcome</w:t>
      </w:r>
      <w:r w:rsidR="00C70C66" w:rsidRPr="00C70C66">
        <w:t xml:space="preserve"> that museums have developed</w:t>
      </w:r>
      <w:r>
        <w:t>.</w:t>
      </w:r>
    </w:p>
    <w:p w14:paraId="0F848407" w14:textId="62A58565" w:rsidR="0063188C" w:rsidRPr="0063188C" w:rsidRDefault="00C70C66" w:rsidP="0063188C">
      <w:pPr>
        <w:rPr>
          <w:b/>
          <w:bCs/>
        </w:rPr>
      </w:pPr>
      <w:r w:rsidRPr="00C70C66">
        <w:t xml:space="preserve">There was a clear </w:t>
      </w:r>
      <w:r w:rsidR="00DE0C2C">
        <w:t>demand for</w:t>
      </w:r>
      <w:r w:rsidRPr="00C70C66">
        <w:t xml:space="preserve"> technology</w:t>
      </w:r>
      <w:r w:rsidR="0063188C" w:rsidRPr="00C70C66">
        <w:t xml:space="preserve"> or infrastructural upgrades </w:t>
      </w:r>
      <w:r w:rsidR="00FE1A19">
        <w:t>including basic</w:t>
      </w:r>
      <w:r w:rsidR="00DE0C2C" w:rsidRPr="00C70C66">
        <w:t xml:space="preserve"> </w:t>
      </w:r>
      <w:r w:rsidR="00037405" w:rsidRPr="00C70C66">
        <w:t>Wi-Fi</w:t>
      </w:r>
      <w:r w:rsidR="00DE0C2C" w:rsidRPr="00C70C66">
        <w:t xml:space="preserve"> or web functionality </w:t>
      </w:r>
      <w:r w:rsidR="0063188C" w:rsidRPr="00C70C66">
        <w:t xml:space="preserve">to allow digital </w:t>
      </w:r>
      <w:r w:rsidRPr="00C70C66">
        <w:t>work and engagement.</w:t>
      </w:r>
      <w:r w:rsidR="00DE0C2C" w:rsidRPr="00DE0C2C">
        <w:t xml:space="preserve"> E</w:t>
      </w:r>
      <w:r w:rsidR="0063188C" w:rsidRPr="00C70C66">
        <w:t>mergency funding</w:t>
      </w:r>
      <w:r w:rsidR="00DE0C2C">
        <w:t xml:space="preserve"> across the UK nations to date appears to have</w:t>
      </w:r>
      <w:r w:rsidR="0063188C" w:rsidRPr="00C70C66">
        <w:t xml:space="preserve"> been most in demand in small amounts for this type of work</w:t>
      </w:r>
      <w:r w:rsidR="00DE0C2C">
        <w:t>. Where museums have benefitted from investment, they need to ensure these gains last</w:t>
      </w:r>
      <w:r w:rsidR="0096129B">
        <w:t xml:space="preserve"> as lockdown eases</w:t>
      </w:r>
      <w:r w:rsidR="00C1274C">
        <w:t xml:space="preserve"> fo</w:t>
      </w:r>
      <w:r w:rsidR="00783F28">
        <w:t>r</w:t>
      </w:r>
      <w:r w:rsidR="00C1274C">
        <w:t xml:space="preserve"> example by making use of advice from NLHF’s Digital Skills Initiative</w:t>
      </w:r>
      <w:r w:rsidR="0096129B">
        <w:t>.</w:t>
      </w:r>
      <w:r w:rsidR="00252954">
        <w:t xml:space="preserve"> And where more investment is needed, sector organisations should allocate funds</w:t>
      </w:r>
      <w:r w:rsidR="00C1274C">
        <w:t xml:space="preserve"> and support to make the most of improvements</w:t>
      </w:r>
      <w:r w:rsidR="00252954">
        <w:t>.</w:t>
      </w:r>
    </w:p>
    <w:p w14:paraId="613BA86C" w14:textId="2E3DF091" w:rsidR="0063188C" w:rsidRDefault="0063188C" w:rsidP="0063188C">
      <w:pPr>
        <w:rPr>
          <w:b/>
          <w:bCs/>
        </w:rPr>
      </w:pPr>
      <w:r w:rsidRPr="00CF11EA">
        <w:t>Local authority museums</w:t>
      </w:r>
      <w:r w:rsidR="00C70C66" w:rsidRPr="00CF11EA">
        <w:t xml:space="preserve"> were underrepresented in applications</w:t>
      </w:r>
      <w:r w:rsidR="00C1274C" w:rsidRPr="00C70C66">
        <w:t>.</w:t>
      </w:r>
      <w:r w:rsidR="00C1274C">
        <w:t xml:space="preserve"> A</w:t>
      </w:r>
      <w:r w:rsidR="00C70C66" w:rsidRPr="00CF11EA">
        <w:t>s loc</w:t>
      </w:r>
      <w:r w:rsidR="00CF11EA" w:rsidRPr="00CF11EA">
        <w:t>kdown has progressed</w:t>
      </w:r>
      <w:r w:rsidR="00C1274C">
        <w:t>, the</w:t>
      </w:r>
      <w:r w:rsidR="00CF11EA" w:rsidRPr="00CF11EA">
        <w:t xml:space="preserve"> long</w:t>
      </w:r>
      <w:r w:rsidR="00C1274C">
        <w:t>-</w:t>
      </w:r>
      <w:r w:rsidR="00CF11EA" w:rsidRPr="00CF11EA">
        <w:t>term challenge</w:t>
      </w:r>
      <w:r w:rsidR="00C1274C">
        <w:t xml:space="preserve"> these museums face </w:t>
      </w:r>
      <w:r w:rsidR="00CF11EA" w:rsidRPr="00CF11EA">
        <w:t>due to local authority deficits</w:t>
      </w:r>
      <w:r w:rsidR="00C1274C">
        <w:t xml:space="preserve"> and staff redeployment or redundancy has come into focus</w:t>
      </w:r>
      <w:r w:rsidR="00CF11EA" w:rsidRPr="00CF11EA">
        <w:t>.</w:t>
      </w:r>
      <w:r w:rsidRPr="00C70C66">
        <w:rPr>
          <w:b/>
          <w:bCs/>
          <w:color w:val="FF0000"/>
        </w:rPr>
        <w:t xml:space="preserve"> </w:t>
      </w:r>
      <w:r w:rsidR="00C1274C" w:rsidRPr="00C70C66">
        <w:t>Applications that were received from local authority museums described the need to show value and efficacy ahead of anticipated major budget cuts</w:t>
      </w:r>
      <w:r w:rsidR="00C1274C">
        <w:t xml:space="preserve"> and, of all parts of the museum sector, local authority museums need financial support and robust advocacy. </w:t>
      </w:r>
    </w:p>
    <w:p w14:paraId="017CF8CC" w14:textId="763D9A6B" w:rsidR="0063188C" w:rsidRPr="00037405" w:rsidRDefault="0063188C" w:rsidP="0063188C">
      <w:pPr>
        <w:rPr>
          <w:b/>
          <w:bCs/>
          <w:sz w:val="28"/>
          <w:szCs w:val="28"/>
        </w:rPr>
      </w:pPr>
      <w:r w:rsidRPr="00037405">
        <w:rPr>
          <w:b/>
          <w:bCs/>
          <w:sz w:val="28"/>
          <w:szCs w:val="28"/>
        </w:rPr>
        <w:t>What we will do</w:t>
      </w:r>
    </w:p>
    <w:p w14:paraId="1D95A955" w14:textId="1DB4A06D" w:rsidR="00C1274C" w:rsidRDefault="00C1274C" w:rsidP="0063188C">
      <w:r w:rsidRPr="00C1274C">
        <w:t xml:space="preserve">This summary </w:t>
      </w:r>
      <w:r>
        <w:t xml:space="preserve">will be shared with applicants, on the MA website and with collections funders across the sector. </w:t>
      </w:r>
      <w:r w:rsidR="00350962">
        <w:t xml:space="preserve">At this time more than ever, funders are working together to support the sector through crisis and these findings will feed into the development of complementary funds and programmes. </w:t>
      </w:r>
    </w:p>
    <w:p w14:paraId="345A044A" w14:textId="21BEF8F2" w:rsidR="0063188C" w:rsidRDefault="00C1274C" w:rsidP="0063188C">
      <w:r>
        <w:t xml:space="preserve">So far we have awarded £367k in Sustaining Engagement with Collections grants and during July will award another handful of grants. We are also working towards our 14 September deadline for </w:t>
      </w:r>
      <w:r>
        <w:lastRenderedPageBreak/>
        <w:t>applications for Collections Innovation and Engagement grants (£90k over 2-3 years) and will use this learning to support and shape those projects.</w:t>
      </w:r>
    </w:p>
    <w:p w14:paraId="36610D98" w14:textId="1CB9E85A" w:rsidR="00C1274C" w:rsidRPr="00C1274C" w:rsidRDefault="00C1274C" w:rsidP="0063188C">
      <w:r>
        <w:t>If you are interested in applying to the Collections Fund or discussing our findings please contact Sarah Briggs (sarah@museumsassociation.org) or Sally Colvin (sally@museumsassociation.org).</w:t>
      </w:r>
    </w:p>
    <w:p w14:paraId="424EFB5C" w14:textId="77777777" w:rsidR="0063188C" w:rsidRPr="0063188C" w:rsidRDefault="0063188C" w:rsidP="00A775EA">
      <w:pPr>
        <w:rPr>
          <w:b/>
          <w:bCs/>
        </w:rPr>
      </w:pPr>
    </w:p>
    <w:sectPr w:rsidR="0063188C" w:rsidRPr="0063188C" w:rsidSect="00037405">
      <w:headerReference w:type="default" r:id="rId11"/>
      <w:pgSz w:w="11906" w:h="16838"/>
      <w:pgMar w:top="1440" w:right="1440" w:bottom="1440" w:left="1440"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91DBC" w14:textId="77777777" w:rsidR="00F74E5E" w:rsidRDefault="00F74E5E" w:rsidP="002E2281">
      <w:pPr>
        <w:spacing w:after="0" w:line="240" w:lineRule="auto"/>
      </w:pPr>
      <w:r>
        <w:separator/>
      </w:r>
    </w:p>
  </w:endnote>
  <w:endnote w:type="continuationSeparator" w:id="0">
    <w:p w14:paraId="0310F9F7" w14:textId="77777777" w:rsidR="00F74E5E" w:rsidRDefault="00F74E5E" w:rsidP="002E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070A4" w14:textId="77777777" w:rsidR="00F74E5E" w:rsidRDefault="00F74E5E" w:rsidP="002E2281">
      <w:pPr>
        <w:spacing w:after="0" w:line="240" w:lineRule="auto"/>
      </w:pPr>
      <w:r>
        <w:separator/>
      </w:r>
    </w:p>
  </w:footnote>
  <w:footnote w:type="continuationSeparator" w:id="0">
    <w:p w14:paraId="4846BDAB" w14:textId="77777777" w:rsidR="00F74E5E" w:rsidRDefault="00F74E5E" w:rsidP="002E2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813A" w14:textId="606AD8B5" w:rsidR="002E2281" w:rsidRDefault="00AE6396" w:rsidP="002E2281">
    <w:pPr>
      <w:pStyle w:val="Header"/>
      <w:ind w:right="-1134"/>
      <w:jc w:val="right"/>
    </w:pPr>
    <w:r>
      <w:t xml:space="preserve">                                                   </w:t>
    </w:r>
    <w:r w:rsidR="002E2281">
      <w:rPr>
        <w:noProof/>
      </w:rPr>
      <w:drawing>
        <wp:inline distT="0" distB="0" distL="0" distR="0" wp14:anchorId="34683029" wp14:editId="0CFD5E1D">
          <wp:extent cx="2481169" cy="94727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1529 Esmee Fairbairn Collections Logo_RGB_Pink.jpg"/>
                  <pic:cNvPicPr/>
                </pic:nvPicPr>
                <pic:blipFill>
                  <a:blip r:embed="rId1">
                    <a:extLst>
                      <a:ext uri="{28A0092B-C50C-407E-A947-70E740481C1C}">
                        <a14:useLocalDpi xmlns:a14="http://schemas.microsoft.com/office/drawing/2010/main" val="0"/>
                      </a:ext>
                    </a:extLst>
                  </a:blip>
                  <a:stretch>
                    <a:fillRect/>
                  </a:stretch>
                </pic:blipFill>
                <pic:spPr>
                  <a:xfrm>
                    <a:off x="0" y="0"/>
                    <a:ext cx="2504435" cy="956157"/>
                  </a:xfrm>
                  <a:prstGeom prst="rect">
                    <a:avLst/>
                  </a:prstGeom>
                </pic:spPr>
              </pic:pic>
            </a:graphicData>
          </a:graphic>
        </wp:inline>
      </w:drawing>
    </w:r>
  </w:p>
  <w:p w14:paraId="3E2B9FBB" w14:textId="77777777" w:rsidR="00037405" w:rsidRDefault="00037405" w:rsidP="002E2281">
    <w:pPr>
      <w:pStyle w:val="Header"/>
      <w:ind w:righ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73543"/>
    <w:multiLevelType w:val="hybridMultilevel"/>
    <w:tmpl w:val="69405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180B5F"/>
    <w:multiLevelType w:val="hybridMultilevel"/>
    <w:tmpl w:val="DEB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8D1E77"/>
    <w:multiLevelType w:val="hybridMultilevel"/>
    <w:tmpl w:val="1C069A62"/>
    <w:lvl w:ilvl="0" w:tplc="72468AE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25457"/>
    <w:multiLevelType w:val="hybridMultilevel"/>
    <w:tmpl w:val="9A1A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C42FA"/>
    <w:multiLevelType w:val="hybridMultilevel"/>
    <w:tmpl w:val="5E567416"/>
    <w:lvl w:ilvl="0" w:tplc="72468AE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8F0FDE"/>
    <w:multiLevelType w:val="hybridMultilevel"/>
    <w:tmpl w:val="F4366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EA"/>
    <w:rsid w:val="000043E0"/>
    <w:rsid w:val="00024967"/>
    <w:rsid w:val="00037405"/>
    <w:rsid w:val="001A022D"/>
    <w:rsid w:val="001D45F4"/>
    <w:rsid w:val="00252954"/>
    <w:rsid w:val="00287555"/>
    <w:rsid w:val="00292A7D"/>
    <w:rsid w:val="002E2281"/>
    <w:rsid w:val="00350962"/>
    <w:rsid w:val="003B0B96"/>
    <w:rsid w:val="003B41A8"/>
    <w:rsid w:val="003E5A3F"/>
    <w:rsid w:val="00431F56"/>
    <w:rsid w:val="00546382"/>
    <w:rsid w:val="0063188C"/>
    <w:rsid w:val="0075366C"/>
    <w:rsid w:val="00783F28"/>
    <w:rsid w:val="008316D7"/>
    <w:rsid w:val="0096129B"/>
    <w:rsid w:val="009A389F"/>
    <w:rsid w:val="009B43DB"/>
    <w:rsid w:val="009D49B8"/>
    <w:rsid w:val="00A22154"/>
    <w:rsid w:val="00A775EA"/>
    <w:rsid w:val="00AA5750"/>
    <w:rsid w:val="00AB0D36"/>
    <w:rsid w:val="00AB7D67"/>
    <w:rsid w:val="00AD6898"/>
    <w:rsid w:val="00AE2AA7"/>
    <w:rsid w:val="00AE6396"/>
    <w:rsid w:val="00AF234E"/>
    <w:rsid w:val="00B32889"/>
    <w:rsid w:val="00C1274C"/>
    <w:rsid w:val="00C70C66"/>
    <w:rsid w:val="00C879EB"/>
    <w:rsid w:val="00CF11EA"/>
    <w:rsid w:val="00DE0C2C"/>
    <w:rsid w:val="00F11F9D"/>
    <w:rsid w:val="00F50622"/>
    <w:rsid w:val="00F74E5E"/>
    <w:rsid w:val="00FC656E"/>
    <w:rsid w:val="00FE1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BC25F"/>
  <w15:chartTrackingRefBased/>
  <w15:docId w15:val="{EA579454-4A78-419A-9BEF-11CE5CA1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5EA"/>
    <w:pPr>
      <w:ind w:left="720"/>
      <w:contextualSpacing/>
    </w:pPr>
  </w:style>
  <w:style w:type="paragraph" w:styleId="Header">
    <w:name w:val="header"/>
    <w:basedOn w:val="Normal"/>
    <w:link w:val="HeaderChar"/>
    <w:uiPriority w:val="99"/>
    <w:unhideWhenUsed/>
    <w:rsid w:val="002E2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81"/>
  </w:style>
  <w:style w:type="paragraph" w:styleId="Footer">
    <w:name w:val="footer"/>
    <w:basedOn w:val="Normal"/>
    <w:link w:val="FooterChar"/>
    <w:uiPriority w:val="99"/>
    <w:unhideWhenUsed/>
    <w:rsid w:val="002E2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SharePoint\Museums%20Association\Funds%20and%20Endowments\EFCF\EFCF%20Grants%20and%20applications\Sustaining%20Engagement%20with%20Collections%202020\selection%20committee%20meeting\Applicant%20info%20and%20sta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Applications by museum type SEWC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642891513560807"/>
          <c:y val="0.16184893554972296"/>
          <c:w val="0.46714238845144357"/>
          <c:h val="0.77857064741907267"/>
        </c:manualLayout>
      </c:layout>
      <c:doughnutChart>
        <c:varyColors val="1"/>
        <c:ser>
          <c:idx val="0"/>
          <c:order val="0"/>
          <c:tx>
            <c:strRef>
              <c:f>Sheet1!$B$23</c:f>
              <c:strCache>
                <c:ptCount val="1"/>
                <c:pt idx="0">
                  <c:v>Applications by museum type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A6-4019-BB38-FB1CD2FE3B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EA6-4019-BB38-FB1CD2FE3B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EA6-4019-BB38-FB1CD2FE3BA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EA6-4019-BB38-FB1CD2FE3BA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EA6-4019-BB38-FB1CD2FE3BA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EA6-4019-BB38-FB1CD2FE3BA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EA6-4019-BB38-FB1CD2FE3BAF}"/>
              </c:ext>
            </c:extLst>
          </c:dPt>
          <c:dLbls>
            <c:dLbl>
              <c:idx val="0"/>
              <c:layout>
                <c:manualLayout>
                  <c:x val="0.15"/>
                  <c:y val="-9.722222222222222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A6-4019-BB38-FB1CD2FE3BAF}"/>
                </c:ext>
              </c:extLst>
            </c:dLbl>
            <c:dLbl>
              <c:idx val="1"/>
              <c:layout>
                <c:manualLayout>
                  <c:x val="-0.1393263113126896"/>
                  <c:y val="8.835236655020771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A6-4019-BB38-FB1CD2FE3BAF}"/>
                </c:ext>
              </c:extLst>
            </c:dLbl>
            <c:dLbl>
              <c:idx val="2"/>
              <c:layout>
                <c:manualLayout>
                  <c:x val="-0.1758335249932928"/>
                  <c:y val="0.139468804931493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EA6-4019-BB38-FB1CD2FE3BAF}"/>
                </c:ext>
              </c:extLst>
            </c:dLbl>
            <c:dLbl>
              <c:idx val="3"/>
              <c:layout>
                <c:manualLayout>
                  <c:x val="-0.18867456095363325"/>
                  <c:y val="7.568721341025032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EA6-4019-BB38-FB1CD2FE3BAF}"/>
                </c:ext>
              </c:extLst>
            </c:dLbl>
            <c:dLbl>
              <c:idx val="4"/>
              <c:layout>
                <c:manualLayout>
                  <c:x val="-0.21474546505699862"/>
                  <c:y val="2.503586134302019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EA6-4019-BB38-FB1CD2FE3BAF}"/>
                </c:ext>
              </c:extLst>
            </c:dLbl>
            <c:dLbl>
              <c:idx val="5"/>
              <c:layout>
                <c:manualLayout>
                  <c:x val="-0.18387279900204817"/>
                  <c:y val="-5.923915473868520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EA6-4019-BB38-FB1CD2FE3BAF}"/>
                </c:ext>
              </c:extLst>
            </c:dLbl>
            <c:dLbl>
              <c:idx val="6"/>
              <c:layout>
                <c:manualLayout>
                  <c:x val="-0.14053487380796395"/>
                  <c:y val="-5.676308810022600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EA6-4019-BB38-FB1CD2FE3B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Sheet1!$A$24:$A$31</c:f>
              <c:strCache>
                <c:ptCount val="7"/>
                <c:pt idx="0">
                  <c:v>Independent</c:v>
                </c:pt>
                <c:pt idx="1">
                  <c:v>Local Authority</c:v>
                </c:pt>
                <c:pt idx="2">
                  <c:v>Military</c:v>
                </c:pt>
                <c:pt idx="3">
                  <c:v>National</c:v>
                </c:pt>
                <c:pt idx="4">
                  <c:v>Network</c:v>
                </c:pt>
                <c:pt idx="5">
                  <c:v>Other</c:v>
                </c:pt>
                <c:pt idx="6">
                  <c:v>University</c:v>
                </c:pt>
              </c:strCache>
            </c:strRef>
          </c:cat>
          <c:val>
            <c:numRef>
              <c:f>Sheet1!$B$24:$B$31</c:f>
              <c:numCache>
                <c:formatCode>0%</c:formatCode>
                <c:ptCount val="7"/>
                <c:pt idx="0">
                  <c:v>0.6</c:v>
                </c:pt>
                <c:pt idx="1">
                  <c:v>0.2</c:v>
                </c:pt>
                <c:pt idx="2">
                  <c:v>2.7586206896551724E-2</c:v>
                </c:pt>
                <c:pt idx="3">
                  <c:v>5.5172413793103448E-2</c:v>
                </c:pt>
                <c:pt idx="4">
                  <c:v>6.8965517241379309E-3</c:v>
                </c:pt>
                <c:pt idx="5">
                  <c:v>4.8275862068965517E-2</c:v>
                </c:pt>
                <c:pt idx="6">
                  <c:v>6.2068965517241378E-2</c:v>
                </c:pt>
              </c:numCache>
            </c:numRef>
          </c:val>
          <c:extLst>
            <c:ext xmlns:c16="http://schemas.microsoft.com/office/drawing/2014/chart" uri="{C3380CC4-5D6E-409C-BE32-E72D297353CC}">
              <c16:uniqueId val="{0000000E-7EA6-4019-BB38-FB1CD2FE3BAF}"/>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E0DD19AAE6514792049C750DBD4865" ma:contentTypeVersion="12" ma:contentTypeDescription="Create a new document." ma:contentTypeScope="" ma:versionID="25210344b4909c1c5569624ce53a698e">
  <xsd:schema xmlns:xsd="http://www.w3.org/2001/XMLSchema" xmlns:xs="http://www.w3.org/2001/XMLSchema" xmlns:p="http://schemas.microsoft.com/office/2006/metadata/properties" xmlns:ns2="d3d74560-8fad-4056-b266-e8164faf22ce" xmlns:ns3="56474e41-c30c-431e-8715-daa6feb8b2b0" targetNamespace="http://schemas.microsoft.com/office/2006/metadata/properties" ma:root="true" ma:fieldsID="c64b721c7f8f4ce4ab58b6c9e73bc986" ns2:_="" ns3:_="">
    <xsd:import namespace="d3d74560-8fad-4056-b266-e8164faf22ce"/>
    <xsd:import namespace="56474e41-c30c-431e-8715-daa6feb8b2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4560-8fad-4056-b266-e8164faf22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74e41-c30c-431e-8715-daa6feb8b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906B1-5124-4DA5-BFF4-D867770EFF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39FED-DE48-49EE-9228-0EFCA0E45C77}">
  <ds:schemaRefs>
    <ds:schemaRef ds:uri="http://schemas.microsoft.com/sharepoint/v3/contenttype/forms"/>
  </ds:schemaRefs>
</ds:datastoreItem>
</file>

<file path=customXml/itemProps3.xml><?xml version="1.0" encoding="utf-8"?>
<ds:datastoreItem xmlns:ds="http://schemas.openxmlformats.org/officeDocument/2006/customXml" ds:itemID="{FBD4A290-632B-4DD9-A797-243478700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74560-8fad-4056-b266-e8164faf22ce"/>
    <ds:schemaRef ds:uri="56474e41-c30c-431e-8715-daa6feb8b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Colvin</dc:creator>
  <cp:keywords/>
  <dc:description/>
  <cp:lastModifiedBy>Will Adams</cp:lastModifiedBy>
  <cp:revision>2</cp:revision>
  <dcterms:created xsi:type="dcterms:W3CDTF">2020-08-09T16:36:00Z</dcterms:created>
  <dcterms:modified xsi:type="dcterms:W3CDTF">2020-08-09T16:36:00Z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0x0101000EE0DD19AAE6514792049C750DBD4865</vt:lpwstr>
  </property>
</Properties>
</file>